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D63D9" w14:textId="77777777" w:rsidR="00583C86" w:rsidRDefault="00583C86" w:rsidP="00583C86">
      <w:pPr>
        <w:spacing w:after="0"/>
        <w:jc w:val="center"/>
        <w:rPr>
          <w:rFonts w:ascii="Arial" w:hAnsi="Arial" w:cs="Arial"/>
          <w:b/>
          <w:sz w:val="24"/>
          <w:szCs w:val="24"/>
        </w:rPr>
      </w:pPr>
      <w:r w:rsidRPr="0089533A">
        <w:rPr>
          <w:rFonts w:ascii="Arial" w:hAnsi="Arial" w:cs="Arial"/>
          <w:b/>
          <w:sz w:val="24"/>
          <w:szCs w:val="24"/>
        </w:rPr>
        <w:t>Job Description</w:t>
      </w:r>
    </w:p>
    <w:p w14:paraId="0DFC41BE" w14:textId="77777777" w:rsidR="005E50F2" w:rsidRPr="0089533A" w:rsidRDefault="005E50F2" w:rsidP="00583C86">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2235"/>
        <w:gridCol w:w="7619"/>
      </w:tblGrid>
      <w:tr w:rsidR="00583C86" w:rsidRPr="0089533A" w14:paraId="7E81F205" w14:textId="77777777" w:rsidTr="00583C86">
        <w:tc>
          <w:tcPr>
            <w:tcW w:w="2235" w:type="dxa"/>
          </w:tcPr>
          <w:p w14:paraId="2172DB8F" w14:textId="77777777" w:rsidR="00583C86" w:rsidRPr="0089533A" w:rsidRDefault="00583C86" w:rsidP="00583C86">
            <w:pPr>
              <w:spacing w:before="120" w:after="120"/>
              <w:rPr>
                <w:rFonts w:ascii="Arial" w:hAnsi="Arial" w:cs="Arial"/>
                <w:b/>
                <w:sz w:val="24"/>
                <w:szCs w:val="24"/>
              </w:rPr>
            </w:pPr>
            <w:r w:rsidRPr="0089533A">
              <w:rPr>
                <w:rFonts w:ascii="Arial" w:hAnsi="Arial" w:cs="Arial"/>
                <w:b/>
                <w:sz w:val="24"/>
                <w:szCs w:val="24"/>
              </w:rPr>
              <w:t>Job Title:</w:t>
            </w:r>
          </w:p>
        </w:tc>
        <w:tc>
          <w:tcPr>
            <w:tcW w:w="7619" w:type="dxa"/>
          </w:tcPr>
          <w:p w14:paraId="4E5DC601" w14:textId="5F9F497C" w:rsidR="00583C86" w:rsidRPr="0089533A" w:rsidRDefault="00952395" w:rsidP="00583C86">
            <w:pPr>
              <w:spacing w:before="120" w:after="120"/>
              <w:rPr>
                <w:rFonts w:ascii="Arial" w:hAnsi="Arial" w:cs="Arial"/>
                <w:sz w:val="24"/>
                <w:szCs w:val="24"/>
              </w:rPr>
            </w:pPr>
            <w:r>
              <w:rPr>
                <w:rFonts w:ascii="Arial" w:hAnsi="Arial" w:cs="Arial"/>
                <w:sz w:val="24"/>
                <w:szCs w:val="24"/>
              </w:rPr>
              <w:t>Non-Executive Director</w:t>
            </w:r>
          </w:p>
        </w:tc>
      </w:tr>
      <w:tr w:rsidR="00583C86" w:rsidRPr="0089533A" w14:paraId="3DE25CD4" w14:textId="77777777" w:rsidTr="00583C86">
        <w:tc>
          <w:tcPr>
            <w:tcW w:w="2235" w:type="dxa"/>
          </w:tcPr>
          <w:p w14:paraId="5A2EABF7" w14:textId="77777777" w:rsidR="00583C86" w:rsidRPr="0089533A" w:rsidRDefault="00583C86" w:rsidP="00583C86">
            <w:pPr>
              <w:spacing w:before="120" w:after="120"/>
              <w:rPr>
                <w:rFonts w:ascii="Arial" w:hAnsi="Arial" w:cs="Arial"/>
                <w:b/>
                <w:sz w:val="24"/>
                <w:szCs w:val="24"/>
              </w:rPr>
            </w:pPr>
            <w:r w:rsidRPr="0089533A">
              <w:rPr>
                <w:rFonts w:ascii="Arial" w:hAnsi="Arial" w:cs="Arial"/>
                <w:b/>
                <w:sz w:val="24"/>
                <w:szCs w:val="24"/>
              </w:rPr>
              <w:t>Band:</w:t>
            </w:r>
          </w:p>
        </w:tc>
        <w:tc>
          <w:tcPr>
            <w:tcW w:w="7619" w:type="dxa"/>
          </w:tcPr>
          <w:p w14:paraId="4B881033" w14:textId="0A18C1C5" w:rsidR="00583C86" w:rsidRPr="0089533A" w:rsidRDefault="00952395" w:rsidP="00583C86">
            <w:pPr>
              <w:spacing w:before="120" w:after="120"/>
              <w:rPr>
                <w:rFonts w:ascii="Arial" w:hAnsi="Arial" w:cs="Arial"/>
                <w:sz w:val="24"/>
                <w:szCs w:val="24"/>
              </w:rPr>
            </w:pPr>
            <w:r>
              <w:rPr>
                <w:rFonts w:ascii="Arial" w:hAnsi="Arial" w:cs="Arial"/>
                <w:sz w:val="24"/>
                <w:szCs w:val="24"/>
              </w:rPr>
              <w:t>N/A</w:t>
            </w:r>
          </w:p>
        </w:tc>
      </w:tr>
      <w:tr w:rsidR="00583C86" w:rsidRPr="0089533A" w14:paraId="54D4AA92" w14:textId="77777777" w:rsidTr="00583C86">
        <w:tc>
          <w:tcPr>
            <w:tcW w:w="2235" w:type="dxa"/>
          </w:tcPr>
          <w:p w14:paraId="301004DD" w14:textId="77777777" w:rsidR="00583C86" w:rsidRPr="0089533A" w:rsidRDefault="00583C86" w:rsidP="00583C86">
            <w:pPr>
              <w:spacing w:before="120" w:after="120"/>
              <w:rPr>
                <w:rFonts w:ascii="Arial" w:hAnsi="Arial" w:cs="Arial"/>
                <w:b/>
                <w:sz w:val="24"/>
                <w:szCs w:val="24"/>
              </w:rPr>
            </w:pPr>
            <w:r w:rsidRPr="0089533A">
              <w:rPr>
                <w:rFonts w:ascii="Arial" w:hAnsi="Arial" w:cs="Arial"/>
                <w:b/>
                <w:sz w:val="24"/>
                <w:szCs w:val="24"/>
              </w:rPr>
              <w:t>Responsible to:</w:t>
            </w:r>
          </w:p>
        </w:tc>
        <w:tc>
          <w:tcPr>
            <w:tcW w:w="7619" w:type="dxa"/>
          </w:tcPr>
          <w:p w14:paraId="71974F93" w14:textId="4B637A9F" w:rsidR="00583C86" w:rsidRPr="0089533A" w:rsidRDefault="00952395" w:rsidP="00583C86">
            <w:pPr>
              <w:spacing w:before="120" w:after="120"/>
              <w:rPr>
                <w:rFonts w:ascii="Arial" w:hAnsi="Arial" w:cs="Arial"/>
                <w:sz w:val="24"/>
                <w:szCs w:val="24"/>
              </w:rPr>
            </w:pPr>
            <w:r>
              <w:rPr>
                <w:rFonts w:ascii="Arial" w:hAnsi="Arial" w:cs="Arial"/>
                <w:sz w:val="24"/>
                <w:szCs w:val="24"/>
              </w:rPr>
              <w:t>Trust Chair, Council of Governors</w:t>
            </w:r>
          </w:p>
        </w:tc>
      </w:tr>
      <w:tr w:rsidR="00583C86" w:rsidRPr="0089533A" w14:paraId="6E5A5720" w14:textId="77777777" w:rsidTr="00583C86">
        <w:tc>
          <w:tcPr>
            <w:tcW w:w="2235" w:type="dxa"/>
          </w:tcPr>
          <w:p w14:paraId="7DA079BA" w14:textId="77777777" w:rsidR="00583C86" w:rsidRPr="0089533A" w:rsidRDefault="00583C86" w:rsidP="00583C86">
            <w:pPr>
              <w:spacing w:before="120" w:after="120"/>
              <w:rPr>
                <w:rFonts w:ascii="Arial" w:hAnsi="Arial" w:cs="Arial"/>
                <w:b/>
                <w:sz w:val="24"/>
                <w:szCs w:val="24"/>
              </w:rPr>
            </w:pPr>
            <w:r w:rsidRPr="0089533A">
              <w:rPr>
                <w:rFonts w:ascii="Arial" w:hAnsi="Arial" w:cs="Arial"/>
                <w:b/>
                <w:sz w:val="24"/>
                <w:szCs w:val="24"/>
              </w:rPr>
              <w:t>Department:</w:t>
            </w:r>
          </w:p>
        </w:tc>
        <w:tc>
          <w:tcPr>
            <w:tcW w:w="7619" w:type="dxa"/>
          </w:tcPr>
          <w:p w14:paraId="106ADAD8" w14:textId="77777777" w:rsidR="00583C86" w:rsidRPr="0089533A" w:rsidRDefault="00583C86" w:rsidP="00583C86">
            <w:pPr>
              <w:spacing w:before="120" w:after="120"/>
              <w:rPr>
                <w:rFonts w:ascii="Arial" w:hAnsi="Arial" w:cs="Arial"/>
                <w:sz w:val="24"/>
                <w:szCs w:val="24"/>
              </w:rPr>
            </w:pPr>
          </w:p>
        </w:tc>
      </w:tr>
      <w:tr w:rsidR="00583C86" w:rsidRPr="0089533A" w14:paraId="27D192FA" w14:textId="77777777" w:rsidTr="00583C86">
        <w:tc>
          <w:tcPr>
            <w:tcW w:w="2235" w:type="dxa"/>
          </w:tcPr>
          <w:p w14:paraId="1ACD4B7B" w14:textId="77777777" w:rsidR="00583C86" w:rsidRPr="0089533A" w:rsidRDefault="00583C86" w:rsidP="00583C86">
            <w:pPr>
              <w:spacing w:before="120" w:after="120"/>
              <w:rPr>
                <w:rFonts w:ascii="Arial" w:hAnsi="Arial" w:cs="Arial"/>
                <w:b/>
                <w:sz w:val="24"/>
                <w:szCs w:val="24"/>
              </w:rPr>
            </w:pPr>
            <w:r w:rsidRPr="0089533A">
              <w:rPr>
                <w:rFonts w:ascii="Arial" w:hAnsi="Arial" w:cs="Arial"/>
                <w:b/>
                <w:sz w:val="24"/>
                <w:szCs w:val="24"/>
              </w:rPr>
              <w:t>Directorate:</w:t>
            </w:r>
          </w:p>
        </w:tc>
        <w:tc>
          <w:tcPr>
            <w:tcW w:w="7619" w:type="dxa"/>
          </w:tcPr>
          <w:p w14:paraId="50D5740A" w14:textId="052A4E5D" w:rsidR="00583C86" w:rsidRPr="0089533A" w:rsidRDefault="00952395" w:rsidP="00583C86">
            <w:pPr>
              <w:spacing w:before="120" w:after="120"/>
              <w:rPr>
                <w:rFonts w:ascii="Arial" w:hAnsi="Arial" w:cs="Arial"/>
                <w:sz w:val="24"/>
                <w:szCs w:val="24"/>
              </w:rPr>
            </w:pPr>
            <w:r>
              <w:rPr>
                <w:rFonts w:ascii="Arial" w:hAnsi="Arial" w:cs="Arial"/>
                <w:sz w:val="24"/>
                <w:szCs w:val="24"/>
              </w:rPr>
              <w:t>Trust Headquarters, Elizabeth House</w:t>
            </w:r>
          </w:p>
        </w:tc>
      </w:tr>
    </w:tbl>
    <w:p w14:paraId="2DA6ED3E" w14:textId="77777777" w:rsidR="0089533A" w:rsidRDefault="0089533A" w:rsidP="00583C86">
      <w:pPr>
        <w:spacing w:after="0"/>
        <w:rPr>
          <w:rFonts w:ascii="Arial" w:hAnsi="Arial" w:cs="Arial"/>
          <w:b/>
          <w:sz w:val="24"/>
          <w:szCs w:val="24"/>
        </w:rPr>
      </w:pPr>
    </w:p>
    <w:p w14:paraId="77E83EC8" w14:textId="77777777" w:rsidR="00583C86" w:rsidRPr="0089533A" w:rsidRDefault="00583C86" w:rsidP="00583C86">
      <w:pPr>
        <w:spacing w:after="0"/>
        <w:rPr>
          <w:rFonts w:ascii="Arial" w:hAnsi="Arial" w:cs="Arial"/>
          <w:b/>
          <w:sz w:val="24"/>
          <w:szCs w:val="24"/>
        </w:rPr>
      </w:pPr>
      <w:r w:rsidRPr="0089533A">
        <w:rPr>
          <w:rFonts w:ascii="Arial" w:hAnsi="Arial" w:cs="Arial"/>
          <w:b/>
          <w:sz w:val="24"/>
          <w:szCs w:val="24"/>
        </w:rPr>
        <w:t>Job Purpose</w:t>
      </w:r>
    </w:p>
    <w:tbl>
      <w:tblPr>
        <w:tblStyle w:val="TableGrid"/>
        <w:tblW w:w="0" w:type="auto"/>
        <w:tblLook w:val="04A0" w:firstRow="1" w:lastRow="0" w:firstColumn="1" w:lastColumn="0" w:noHBand="0" w:noVBand="1"/>
      </w:tblPr>
      <w:tblGrid>
        <w:gridCol w:w="9854"/>
      </w:tblGrid>
      <w:tr w:rsidR="00583C86" w:rsidRPr="0089533A" w14:paraId="39173FE4" w14:textId="77777777" w:rsidTr="00583C86">
        <w:tc>
          <w:tcPr>
            <w:tcW w:w="9854" w:type="dxa"/>
          </w:tcPr>
          <w:p w14:paraId="02B0C86A" w14:textId="77777777" w:rsidR="00583C86" w:rsidRDefault="00952395" w:rsidP="00952395">
            <w:pPr>
              <w:pStyle w:val="ListParagraph"/>
              <w:numPr>
                <w:ilvl w:val="0"/>
                <w:numId w:val="20"/>
              </w:numPr>
              <w:rPr>
                <w:rFonts w:ascii="Arial" w:hAnsi="Arial" w:cs="Arial"/>
                <w:sz w:val="24"/>
                <w:szCs w:val="24"/>
              </w:rPr>
            </w:pPr>
            <w:r>
              <w:rPr>
                <w:rFonts w:ascii="Arial" w:hAnsi="Arial" w:cs="Arial"/>
                <w:sz w:val="24"/>
                <w:szCs w:val="24"/>
              </w:rPr>
              <w:t>It is stated within the National Health Service Act 2006 that the duty of the Board and each individual Director is to act with a view of promoting the success of the corporation so as to maximise the benefits for both its members and the public.</w:t>
            </w:r>
          </w:p>
          <w:p w14:paraId="2F9545E2" w14:textId="77777777" w:rsidR="00952395" w:rsidRDefault="00952395" w:rsidP="00952395">
            <w:pPr>
              <w:pStyle w:val="ListParagraph"/>
              <w:numPr>
                <w:ilvl w:val="0"/>
                <w:numId w:val="20"/>
              </w:numPr>
              <w:rPr>
                <w:rFonts w:ascii="Arial" w:hAnsi="Arial" w:cs="Arial"/>
                <w:sz w:val="24"/>
                <w:szCs w:val="24"/>
              </w:rPr>
            </w:pPr>
            <w:r>
              <w:rPr>
                <w:rFonts w:ascii="Arial" w:hAnsi="Arial" w:cs="Arial"/>
                <w:sz w:val="24"/>
                <w:szCs w:val="24"/>
              </w:rPr>
              <w:t>As set out in the Code of Governance every NHS FT should be headed by an effective Board of Directors.  The Board is collectively responsible for the performance of the NHS FT.</w:t>
            </w:r>
          </w:p>
          <w:p w14:paraId="56E758E0" w14:textId="41745893" w:rsidR="00952395" w:rsidRDefault="00952395" w:rsidP="00952395">
            <w:pPr>
              <w:pStyle w:val="ListParagraph"/>
              <w:numPr>
                <w:ilvl w:val="0"/>
                <w:numId w:val="20"/>
              </w:numPr>
              <w:rPr>
                <w:rFonts w:ascii="Arial" w:hAnsi="Arial" w:cs="Arial"/>
                <w:sz w:val="24"/>
                <w:szCs w:val="24"/>
              </w:rPr>
            </w:pPr>
            <w:r>
              <w:rPr>
                <w:rFonts w:ascii="Arial" w:hAnsi="Arial" w:cs="Arial"/>
                <w:sz w:val="24"/>
                <w:szCs w:val="24"/>
              </w:rPr>
              <w:t>Non-Executive Directors pl</w:t>
            </w:r>
            <w:r w:rsidR="00627791">
              <w:rPr>
                <w:rFonts w:ascii="Arial" w:hAnsi="Arial" w:cs="Arial"/>
                <w:sz w:val="24"/>
                <w:szCs w:val="24"/>
              </w:rPr>
              <w:t>a</w:t>
            </w:r>
            <w:r>
              <w:rPr>
                <w:rFonts w:ascii="Arial" w:hAnsi="Arial" w:cs="Arial"/>
                <w:sz w:val="24"/>
                <w:szCs w:val="24"/>
              </w:rPr>
              <w:t>y a crucial role within the Board as, in addition to any specific knowledge and skills that they may have they provide an independent perspective to the operational Executive Directors.</w:t>
            </w:r>
          </w:p>
          <w:p w14:paraId="3BAF03ED" w14:textId="6525EE23" w:rsidR="00952395" w:rsidRDefault="00952395" w:rsidP="00952395">
            <w:pPr>
              <w:pStyle w:val="ListParagraph"/>
              <w:numPr>
                <w:ilvl w:val="0"/>
                <w:numId w:val="20"/>
              </w:numPr>
              <w:rPr>
                <w:rFonts w:ascii="Arial" w:hAnsi="Arial" w:cs="Arial"/>
                <w:sz w:val="24"/>
                <w:szCs w:val="24"/>
              </w:rPr>
            </w:pPr>
            <w:r>
              <w:rPr>
                <w:rFonts w:ascii="Arial" w:hAnsi="Arial" w:cs="Arial"/>
                <w:sz w:val="24"/>
                <w:szCs w:val="24"/>
              </w:rPr>
              <w:t>Furthermore</w:t>
            </w:r>
            <w:r w:rsidR="00627791">
              <w:rPr>
                <w:rFonts w:ascii="Arial" w:hAnsi="Arial" w:cs="Arial"/>
                <w:sz w:val="24"/>
                <w:szCs w:val="24"/>
              </w:rPr>
              <w:t>,</w:t>
            </w:r>
            <w:r>
              <w:rPr>
                <w:rFonts w:ascii="Arial" w:hAnsi="Arial" w:cs="Arial"/>
                <w:sz w:val="24"/>
                <w:szCs w:val="24"/>
              </w:rPr>
              <w:t xml:space="preserve"> it is the duty of a Non-Executive Director to uphold the highest standards of probity and integrity as per the Trust’s core values as well as encouraging good relations within the Board room.</w:t>
            </w:r>
          </w:p>
          <w:p w14:paraId="23BD8800" w14:textId="37ACA4BC" w:rsidR="00952395" w:rsidRPr="00952395" w:rsidRDefault="00952395" w:rsidP="00952395">
            <w:pPr>
              <w:pStyle w:val="ListParagraph"/>
              <w:numPr>
                <w:ilvl w:val="0"/>
                <w:numId w:val="20"/>
              </w:numPr>
              <w:rPr>
                <w:rFonts w:ascii="Arial" w:hAnsi="Arial" w:cs="Arial"/>
                <w:sz w:val="24"/>
                <w:szCs w:val="24"/>
              </w:rPr>
            </w:pPr>
            <w:r>
              <w:rPr>
                <w:rFonts w:ascii="Arial" w:hAnsi="Arial" w:cs="Arial"/>
                <w:sz w:val="24"/>
                <w:szCs w:val="24"/>
              </w:rPr>
              <w:t>Non-Executive Directors are expected to participate fully as members of their assigned Sub-Committees as well as assuming the role of Committee Chair when appointed.  Also, as a representative of the Cambridgeshire and Peterborough Foundation Trust it is their responsibility to ensure their own awareness of the views of the Council of Governors in order to give good consideration to these views when advising the Senior Management on all Trust related issues.</w:t>
            </w:r>
          </w:p>
        </w:tc>
      </w:tr>
    </w:tbl>
    <w:p w14:paraId="4BFAEA24" w14:textId="77777777" w:rsidR="005E50F2" w:rsidRDefault="005E50F2" w:rsidP="00583C86">
      <w:pPr>
        <w:spacing w:after="0"/>
        <w:rPr>
          <w:rFonts w:ascii="Arial" w:hAnsi="Arial" w:cs="Arial"/>
          <w:b/>
          <w:sz w:val="24"/>
          <w:szCs w:val="24"/>
        </w:rPr>
      </w:pPr>
    </w:p>
    <w:p w14:paraId="73F53886" w14:textId="77777777" w:rsidR="00583C86" w:rsidRDefault="00AF6822" w:rsidP="00583C86">
      <w:pPr>
        <w:spacing w:after="0"/>
        <w:rPr>
          <w:rFonts w:ascii="Arial" w:hAnsi="Arial" w:cs="Arial"/>
          <w:b/>
          <w:sz w:val="24"/>
          <w:szCs w:val="24"/>
        </w:rPr>
      </w:pPr>
      <w:r>
        <w:rPr>
          <w:rFonts w:ascii="Arial" w:hAnsi="Arial" w:cs="Arial"/>
          <w:b/>
          <w:sz w:val="24"/>
          <w:szCs w:val="24"/>
        </w:rPr>
        <w:t>Key Responsibilities</w:t>
      </w:r>
    </w:p>
    <w:p w14:paraId="21865788" w14:textId="77777777" w:rsidR="00AF6822" w:rsidRDefault="00AF6822" w:rsidP="00583C86">
      <w:pPr>
        <w:spacing w:after="0"/>
        <w:rPr>
          <w:rFonts w:ascii="Arial" w:hAnsi="Arial" w:cs="Arial"/>
          <w:b/>
          <w:sz w:val="24"/>
          <w:szCs w:val="24"/>
        </w:rPr>
      </w:pPr>
    </w:p>
    <w:p w14:paraId="39D8B0C8" w14:textId="50C7458A" w:rsidR="00AF6822" w:rsidRPr="0089533A" w:rsidRDefault="002701BF" w:rsidP="00583C86">
      <w:pPr>
        <w:spacing w:after="0"/>
        <w:rPr>
          <w:rFonts w:ascii="Arial" w:hAnsi="Arial" w:cs="Arial"/>
          <w:b/>
          <w:sz w:val="24"/>
          <w:szCs w:val="24"/>
        </w:rPr>
      </w:pPr>
      <w:r>
        <w:rPr>
          <w:rFonts w:ascii="Arial" w:hAnsi="Arial" w:cs="Arial"/>
          <w:b/>
          <w:sz w:val="24"/>
          <w:szCs w:val="24"/>
        </w:rPr>
        <w:t>General Responsibilities &amp; Duties:</w:t>
      </w:r>
    </w:p>
    <w:tbl>
      <w:tblPr>
        <w:tblStyle w:val="TableGrid"/>
        <w:tblW w:w="0" w:type="auto"/>
        <w:tblLook w:val="04A0" w:firstRow="1" w:lastRow="0" w:firstColumn="1" w:lastColumn="0" w:noHBand="0" w:noVBand="1"/>
      </w:tblPr>
      <w:tblGrid>
        <w:gridCol w:w="9854"/>
      </w:tblGrid>
      <w:tr w:rsidR="00583C86" w:rsidRPr="0089533A" w14:paraId="2788C88A" w14:textId="77777777" w:rsidTr="00583C86">
        <w:tc>
          <w:tcPr>
            <w:tcW w:w="9854" w:type="dxa"/>
          </w:tcPr>
          <w:p w14:paraId="4902C139" w14:textId="46D2E593" w:rsidR="00583C86" w:rsidRDefault="002701BF" w:rsidP="00AA689E">
            <w:pPr>
              <w:pStyle w:val="ListParagraph"/>
              <w:numPr>
                <w:ilvl w:val="0"/>
                <w:numId w:val="1"/>
              </w:numPr>
              <w:spacing w:before="120" w:after="120"/>
              <w:ind w:left="357" w:hanging="357"/>
              <w:contextualSpacing w:val="0"/>
              <w:rPr>
                <w:rFonts w:ascii="Arial" w:hAnsi="Arial" w:cs="Arial"/>
                <w:sz w:val="24"/>
                <w:szCs w:val="24"/>
              </w:rPr>
            </w:pPr>
            <w:r>
              <w:rPr>
                <w:rFonts w:ascii="Arial" w:hAnsi="Arial" w:cs="Arial"/>
                <w:sz w:val="24"/>
                <w:szCs w:val="24"/>
              </w:rPr>
              <w:t>To set the strategic direction of the organisation considering the views of the Council of Governors and agreeing appropriate plans to achieve them.</w:t>
            </w:r>
          </w:p>
          <w:p w14:paraId="09BB7603" w14:textId="63C44F98" w:rsidR="00AA689E" w:rsidRDefault="002701BF" w:rsidP="00AA689E">
            <w:pPr>
              <w:pStyle w:val="ListParagraph"/>
              <w:numPr>
                <w:ilvl w:val="0"/>
                <w:numId w:val="1"/>
              </w:numPr>
              <w:spacing w:before="120" w:after="120"/>
              <w:ind w:left="357" w:hanging="357"/>
              <w:contextualSpacing w:val="0"/>
              <w:rPr>
                <w:rFonts w:ascii="Arial" w:hAnsi="Arial" w:cs="Arial"/>
                <w:sz w:val="24"/>
                <w:szCs w:val="24"/>
              </w:rPr>
            </w:pPr>
            <w:r>
              <w:rPr>
                <w:rFonts w:ascii="Arial" w:hAnsi="Arial" w:cs="Arial"/>
                <w:sz w:val="24"/>
                <w:szCs w:val="24"/>
              </w:rPr>
              <w:t>To exercise appropriate oversight over the execution of the agreed strategic objectives by the Executive Team.</w:t>
            </w:r>
          </w:p>
          <w:p w14:paraId="77AAFD72" w14:textId="2397A1B6" w:rsidR="00AA689E" w:rsidRDefault="002701BF" w:rsidP="00AA689E">
            <w:pPr>
              <w:pStyle w:val="ListParagraph"/>
              <w:numPr>
                <w:ilvl w:val="0"/>
                <w:numId w:val="1"/>
              </w:numPr>
              <w:spacing w:before="120" w:after="120"/>
              <w:ind w:left="357" w:hanging="357"/>
              <w:contextualSpacing w:val="0"/>
              <w:rPr>
                <w:rFonts w:ascii="Arial" w:hAnsi="Arial" w:cs="Arial"/>
                <w:sz w:val="24"/>
                <w:szCs w:val="24"/>
              </w:rPr>
            </w:pPr>
            <w:r>
              <w:rPr>
                <w:rFonts w:ascii="Arial" w:hAnsi="Arial" w:cs="Arial"/>
                <w:sz w:val="24"/>
                <w:szCs w:val="24"/>
              </w:rPr>
              <w:t>To provide constructive, considered and appropriate challenge to the Board of Directors, monitoring performance reporting.</w:t>
            </w:r>
          </w:p>
          <w:p w14:paraId="0B239458" w14:textId="2DE8EDA1" w:rsidR="002701BF" w:rsidRDefault="002701BF" w:rsidP="002701BF">
            <w:pPr>
              <w:pStyle w:val="ListParagraph"/>
              <w:numPr>
                <w:ilvl w:val="0"/>
                <w:numId w:val="21"/>
              </w:numPr>
              <w:spacing w:before="120" w:after="120"/>
              <w:contextualSpacing w:val="0"/>
              <w:rPr>
                <w:rFonts w:ascii="Arial" w:hAnsi="Arial" w:cs="Arial"/>
                <w:sz w:val="24"/>
                <w:szCs w:val="24"/>
              </w:rPr>
            </w:pPr>
            <w:r>
              <w:rPr>
                <w:rFonts w:ascii="Arial" w:hAnsi="Arial" w:cs="Arial"/>
                <w:sz w:val="24"/>
                <w:szCs w:val="24"/>
              </w:rPr>
              <w:t>Non-Executive Directors should satisfy themselves in regards to the integrity of operational, financial and clinical information provided.</w:t>
            </w:r>
          </w:p>
          <w:p w14:paraId="5BF0F548" w14:textId="1BAC67F6" w:rsidR="002701BF" w:rsidRDefault="002701BF" w:rsidP="002701BF">
            <w:pPr>
              <w:pStyle w:val="ListParagraph"/>
              <w:numPr>
                <w:ilvl w:val="0"/>
                <w:numId w:val="21"/>
              </w:numPr>
              <w:spacing w:before="120" w:after="120"/>
              <w:contextualSpacing w:val="0"/>
              <w:rPr>
                <w:rFonts w:ascii="Arial" w:hAnsi="Arial" w:cs="Arial"/>
                <w:sz w:val="24"/>
                <w:szCs w:val="24"/>
              </w:rPr>
            </w:pPr>
            <w:r>
              <w:rPr>
                <w:rFonts w:ascii="Arial" w:hAnsi="Arial" w:cs="Arial"/>
                <w:sz w:val="24"/>
                <w:szCs w:val="24"/>
              </w:rPr>
              <w:t xml:space="preserve">Non-Executive Directors should satisfy themselves that all quality controls, systems of risk management as well as the governance of the Trust are robust </w:t>
            </w:r>
            <w:r>
              <w:rPr>
                <w:rFonts w:ascii="Arial" w:hAnsi="Arial" w:cs="Arial"/>
                <w:sz w:val="24"/>
                <w:szCs w:val="24"/>
              </w:rPr>
              <w:lastRenderedPageBreak/>
              <w:t>and defensible.</w:t>
            </w:r>
          </w:p>
          <w:p w14:paraId="206025D2" w14:textId="3D345CA3" w:rsidR="002701BF" w:rsidRDefault="002701BF" w:rsidP="00AA689E">
            <w:pPr>
              <w:pStyle w:val="ListParagraph"/>
              <w:numPr>
                <w:ilvl w:val="0"/>
                <w:numId w:val="1"/>
              </w:numPr>
              <w:spacing w:before="120" w:after="120"/>
              <w:ind w:left="357" w:hanging="357"/>
              <w:contextualSpacing w:val="0"/>
              <w:rPr>
                <w:rFonts w:ascii="Arial" w:hAnsi="Arial" w:cs="Arial"/>
                <w:sz w:val="24"/>
                <w:szCs w:val="24"/>
              </w:rPr>
            </w:pPr>
            <w:r>
              <w:rPr>
                <w:rFonts w:ascii="Arial" w:hAnsi="Arial" w:cs="Arial"/>
                <w:sz w:val="24"/>
                <w:szCs w:val="24"/>
              </w:rPr>
              <w:t>To ensure that the Trust places patient safety at the heart of its work including the reinforcement of a positive corporate culture by adopting exemplary behaviours within the Board room and across the Trust.</w:t>
            </w:r>
          </w:p>
          <w:p w14:paraId="75C9ECA1" w14:textId="7C2BFFFB" w:rsidR="00AA689E" w:rsidRDefault="002701BF" w:rsidP="00AA689E">
            <w:pPr>
              <w:pStyle w:val="ListParagraph"/>
              <w:numPr>
                <w:ilvl w:val="0"/>
                <w:numId w:val="1"/>
              </w:numPr>
              <w:spacing w:before="120" w:after="120"/>
              <w:ind w:left="357" w:hanging="357"/>
              <w:contextualSpacing w:val="0"/>
              <w:rPr>
                <w:rFonts w:ascii="Arial" w:hAnsi="Arial" w:cs="Arial"/>
                <w:sz w:val="24"/>
                <w:szCs w:val="24"/>
              </w:rPr>
            </w:pPr>
            <w:r>
              <w:rPr>
                <w:rFonts w:ascii="Arial" w:hAnsi="Arial" w:cs="Arial"/>
                <w:sz w:val="24"/>
                <w:szCs w:val="24"/>
              </w:rPr>
              <w:t>To support the Chief Executive and Executive Directors in promoting and upholding CPFT’s mission, vision and values.</w:t>
            </w:r>
          </w:p>
          <w:p w14:paraId="5E87E42F" w14:textId="65A034F7" w:rsidR="00AA689E" w:rsidRDefault="002701BF" w:rsidP="00AA689E">
            <w:pPr>
              <w:pStyle w:val="ListParagraph"/>
              <w:numPr>
                <w:ilvl w:val="0"/>
                <w:numId w:val="1"/>
              </w:numPr>
              <w:spacing w:before="120" w:after="120"/>
              <w:ind w:left="357" w:hanging="357"/>
              <w:contextualSpacing w:val="0"/>
              <w:rPr>
                <w:rFonts w:ascii="Arial" w:hAnsi="Arial" w:cs="Arial"/>
                <w:sz w:val="24"/>
                <w:szCs w:val="24"/>
              </w:rPr>
            </w:pPr>
            <w:r>
              <w:rPr>
                <w:rFonts w:ascii="Arial" w:hAnsi="Arial" w:cs="Arial"/>
                <w:sz w:val="24"/>
                <w:szCs w:val="24"/>
              </w:rPr>
              <w:t xml:space="preserve">Where appropriate, and in </w:t>
            </w:r>
            <w:r w:rsidR="000C01D4">
              <w:rPr>
                <w:rFonts w:ascii="Arial" w:hAnsi="Arial" w:cs="Arial"/>
                <w:sz w:val="24"/>
                <w:szCs w:val="24"/>
              </w:rPr>
              <w:t>order to ensure the provision and understanding of decisions, Non-Executive Directors have a duty to elicit and consider external advice.</w:t>
            </w:r>
          </w:p>
          <w:p w14:paraId="1CDB639A" w14:textId="77777777" w:rsidR="00AA689E" w:rsidRPr="00AA689E" w:rsidRDefault="00AA689E" w:rsidP="000C01D4">
            <w:pPr>
              <w:pStyle w:val="ListParagraph"/>
              <w:spacing w:before="120" w:after="120"/>
              <w:ind w:left="357"/>
              <w:contextualSpacing w:val="0"/>
              <w:rPr>
                <w:rFonts w:ascii="Arial" w:hAnsi="Arial" w:cs="Arial"/>
                <w:sz w:val="24"/>
                <w:szCs w:val="24"/>
              </w:rPr>
            </w:pPr>
          </w:p>
        </w:tc>
      </w:tr>
    </w:tbl>
    <w:p w14:paraId="45821572" w14:textId="77777777" w:rsidR="00583C86" w:rsidRPr="0089533A" w:rsidRDefault="00583C86" w:rsidP="00583C86">
      <w:pPr>
        <w:spacing w:after="0"/>
        <w:rPr>
          <w:rFonts w:ascii="Arial" w:hAnsi="Arial" w:cs="Arial"/>
          <w:sz w:val="24"/>
          <w:szCs w:val="24"/>
        </w:rPr>
      </w:pPr>
    </w:p>
    <w:p w14:paraId="2A7DA2E9" w14:textId="5B97F2CD" w:rsidR="00583C86" w:rsidRPr="0089533A" w:rsidRDefault="000C01D4" w:rsidP="00583C86">
      <w:pPr>
        <w:spacing w:after="0"/>
        <w:rPr>
          <w:rFonts w:ascii="Arial" w:hAnsi="Arial" w:cs="Arial"/>
          <w:b/>
          <w:sz w:val="24"/>
          <w:szCs w:val="24"/>
        </w:rPr>
      </w:pPr>
      <w:r>
        <w:rPr>
          <w:rFonts w:ascii="Arial" w:hAnsi="Arial" w:cs="Arial"/>
          <w:b/>
          <w:sz w:val="24"/>
          <w:szCs w:val="24"/>
        </w:rPr>
        <w:t>Council of Governors:</w:t>
      </w:r>
    </w:p>
    <w:tbl>
      <w:tblPr>
        <w:tblStyle w:val="TableGrid"/>
        <w:tblW w:w="0" w:type="auto"/>
        <w:tblLook w:val="04A0" w:firstRow="1" w:lastRow="0" w:firstColumn="1" w:lastColumn="0" w:noHBand="0" w:noVBand="1"/>
      </w:tblPr>
      <w:tblGrid>
        <w:gridCol w:w="9854"/>
      </w:tblGrid>
      <w:tr w:rsidR="003B6E92" w:rsidRPr="0089533A" w14:paraId="21804398" w14:textId="77777777" w:rsidTr="003B6E92">
        <w:tc>
          <w:tcPr>
            <w:tcW w:w="9854" w:type="dxa"/>
          </w:tcPr>
          <w:p w14:paraId="30DF9F16" w14:textId="29800E48" w:rsidR="00AA689E" w:rsidRDefault="000C01D4" w:rsidP="00AA689E">
            <w:pPr>
              <w:pStyle w:val="ListParagraph"/>
              <w:numPr>
                <w:ilvl w:val="0"/>
                <w:numId w:val="3"/>
              </w:numPr>
              <w:spacing w:before="120" w:after="120"/>
              <w:ind w:hanging="357"/>
              <w:contextualSpacing w:val="0"/>
              <w:rPr>
                <w:rFonts w:ascii="Arial" w:hAnsi="Arial" w:cs="Arial"/>
                <w:sz w:val="24"/>
                <w:szCs w:val="24"/>
              </w:rPr>
            </w:pPr>
            <w:r>
              <w:rPr>
                <w:rFonts w:ascii="Arial" w:hAnsi="Arial" w:cs="Arial"/>
                <w:sz w:val="24"/>
                <w:szCs w:val="24"/>
              </w:rPr>
              <w:t>All Non-Executive Directors should ensure that they attend The Council of Governors meetings, held quarterly.</w:t>
            </w:r>
          </w:p>
          <w:p w14:paraId="30B0992E" w14:textId="5604B6FD" w:rsidR="000C01D4" w:rsidRDefault="000C01D4" w:rsidP="000C01D4">
            <w:pPr>
              <w:pStyle w:val="ListParagraph"/>
              <w:numPr>
                <w:ilvl w:val="0"/>
                <w:numId w:val="22"/>
              </w:numPr>
              <w:spacing w:before="120" w:after="120"/>
              <w:contextualSpacing w:val="0"/>
              <w:rPr>
                <w:rFonts w:ascii="Arial" w:hAnsi="Arial" w:cs="Arial"/>
                <w:sz w:val="24"/>
                <w:szCs w:val="24"/>
              </w:rPr>
            </w:pPr>
            <w:r>
              <w:rPr>
                <w:rFonts w:ascii="Arial" w:hAnsi="Arial" w:cs="Arial"/>
                <w:sz w:val="24"/>
                <w:szCs w:val="24"/>
              </w:rPr>
              <w:t>In doing so they should consider the views and interests of the Council of Governors, bearing in mind that the</w:t>
            </w:r>
            <w:r w:rsidR="00917432">
              <w:rPr>
                <w:rFonts w:ascii="Arial" w:hAnsi="Arial" w:cs="Arial"/>
                <w:sz w:val="24"/>
                <w:szCs w:val="24"/>
              </w:rPr>
              <w:t>ir</w:t>
            </w:r>
            <w:r>
              <w:rPr>
                <w:rFonts w:ascii="Arial" w:hAnsi="Arial" w:cs="Arial"/>
                <w:sz w:val="24"/>
                <w:szCs w:val="24"/>
              </w:rPr>
              <w:t xml:space="preserve"> viewpoint is representative of the Trust</w:t>
            </w:r>
            <w:r w:rsidR="00917432">
              <w:rPr>
                <w:rFonts w:ascii="Arial" w:hAnsi="Arial" w:cs="Arial"/>
                <w:sz w:val="24"/>
                <w:szCs w:val="24"/>
              </w:rPr>
              <w:t>’</w:t>
            </w:r>
            <w:r>
              <w:rPr>
                <w:rFonts w:ascii="Arial" w:hAnsi="Arial" w:cs="Arial"/>
                <w:sz w:val="24"/>
                <w:szCs w:val="24"/>
              </w:rPr>
              <w:t>s Membership, Service Users, Carers and Staff.</w:t>
            </w:r>
          </w:p>
          <w:p w14:paraId="3BE650FA" w14:textId="77777777" w:rsidR="000C01D4" w:rsidRPr="000C01D4" w:rsidRDefault="000C01D4" w:rsidP="000C01D4">
            <w:pPr>
              <w:spacing w:before="120" w:after="120"/>
              <w:ind w:left="3"/>
              <w:rPr>
                <w:rFonts w:ascii="Arial" w:hAnsi="Arial" w:cs="Arial"/>
                <w:sz w:val="24"/>
                <w:szCs w:val="24"/>
              </w:rPr>
            </w:pPr>
          </w:p>
          <w:p w14:paraId="0DE6CBB0" w14:textId="0DECE2F4" w:rsidR="00AA689E" w:rsidRDefault="000C01D4" w:rsidP="00AA689E">
            <w:pPr>
              <w:pStyle w:val="ListParagraph"/>
              <w:numPr>
                <w:ilvl w:val="0"/>
                <w:numId w:val="3"/>
              </w:numPr>
              <w:spacing w:before="120" w:after="120"/>
              <w:ind w:hanging="357"/>
              <w:contextualSpacing w:val="0"/>
              <w:rPr>
                <w:rFonts w:ascii="Arial" w:hAnsi="Arial" w:cs="Arial"/>
                <w:sz w:val="24"/>
                <w:szCs w:val="24"/>
              </w:rPr>
            </w:pPr>
            <w:r>
              <w:rPr>
                <w:rFonts w:ascii="Arial" w:hAnsi="Arial" w:cs="Arial"/>
                <w:sz w:val="24"/>
                <w:szCs w:val="24"/>
              </w:rPr>
              <w:t>All Non-Executive Directors regarding all Performance, Strategy and Governance related issues should maintain an on-going dialogue with the Council of Governors.</w:t>
            </w:r>
          </w:p>
          <w:p w14:paraId="4482BFDA" w14:textId="2A2F437F" w:rsidR="000C01D4" w:rsidRDefault="000C01D4" w:rsidP="000C01D4">
            <w:pPr>
              <w:pStyle w:val="ListParagraph"/>
              <w:numPr>
                <w:ilvl w:val="0"/>
                <w:numId w:val="23"/>
              </w:numPr>
              <w:spacing w:before="120" w:after="120"/>
              <w:contextualSpacing w:val="0"/>
              <w:rPr>
                <w:rFonts w:ascii="Arial" w:hAnsi="Arial" w:cs="Arial"/>
                <w:sz w:val="24"/>
                <w:szCs w:val="24"/>
              </w:rPr>
            </w:pPr>
            <w:r>
              <w:rPr>
                <w:rFonts w:ascii="Arial" w:hAnsi="Arial" w:cs="Arial"/>
                <w:sz w:val="24"/>
                <w:szCs w:val="24"/>
              </w:rPr>
              <w:t>Non-Executive Directors should ensure that any feedback provided by the Council of Governors regarding the Trust’s performance is communicated to the Board of Directors and other members of Senior Management effectively.</w:t>
            </w:r>
          </w:p>
          <w:p w14:paraId="4C3ED50D" w14:textId="77777777" w:rsidR="00AA689E" w:rsidRPr="000C01D4" w:rsidRDefault="00AA689E" w:rsidP="000C01D4">
            <w:pPr>
              <w:spacing w:before="120" w:after="120"/>
              <w:rPr>
                <w:rFonts w:ascii="Arial" w:hAnsi="Arial" w:cs="Arial"/>
                <w:sz w:val="24"/>
                <w:szCs w:val="24"/>
              </w:rPr>
            </w:pPr>
          </w:p>
        </w:tc>
      </w:tr>
    </w:tbl>
    <w:p w14:paraId="50ADD8F6" w14:textId="77777777" w:rsidR="003B6E92" w:rsidRPr="0089533A" w:rsidRDefault="003B6E92" w:rsidP="00583C86">
      <w:pPr>
        <w:spacing w:after="0"/>
        <w:rPr>
          <w:rFonts w:ascii="Arial" w:hAnsi="Arial" w:cs="Arial"/>
          <w:sz w:val="24"/>
          <w:szCs w:val="24"/>
        </w:rPr>
      </w:pPr>
    </w:p>
    <w:p w14:paraId="38693ECB" w14:textId="0C925F4C" w:rsidR="003B6E92" w:rsidRPr="0089533A" w:rsidRDefault="000C01D4" w:rsidP="00583C86">
      <w:pPr>
        <w:spacing w:after="0"/>
        <w:rPr>
          <w:rFonts w:ascii="Arial" w:hAnsi="Arial" w:cs="Arial"/>
          <w:b/>
          <w:sz w:val="24"/>
          <w:szCs w:val="24"/>
        </w:rPr>
      </w:pPr>
      <w:r>
        <w:rPr>
          <w:rFonts w:ascii="Arial" w:hAnsi="Arial" w:cs="Arial"/>
          <w:b/>
          <w:sz w:val="24"/>
          <w:szCs w:val="24"/>
        </w:rPr>
        <w:t>Constitutional Responsibility of all Committee members:</w:t>
      </w:r>
    </w:p>
    <w:tbl>
      <w:tblPr>
        <w:tblStyle w:val="TableGrid"/>
        <w:tblW w:w="0" w:type="auto"/>
        <w:tblLook w:val="04A0" w:firstRow="1" w:lastRow="0" w:firstColumn="1" w:lastColumn="0" w:noHBand="0" w:noVBand="1"/>
      </w:tblPr>
      <w:tblGrid>
        <w:gridCol w:w="9854"/>
      </w:tblGrid>
      <w:tr w:rsidR="003B6E92" w:rsidRPr="0089533A" w14:paraId="045EE7C3" w14:textId="77777777" w:rsidTr="003B6E92">
        <w:tc>
          <w:tcPr>
            <w:tcW w:w="9854" w:type="dxa"/>
          </w:tcPr>
          <w:p w14:paraId="389ABB07" w14:textId="3C3FA0EC" w:rsidR="00AA689E" w:rsidRPr="00AA689E" w:rsidRDefault="00DB78AF" w:rsidP="00AA689E">
            <w:pPr>
              <w:pStyle w:val="ListParagraph"/>
              <w:numPr>
                <w:ilvl w:val="0"/>
                <w:numId w:val="13"/>
              </w:numPr>
              <w:spacing w:before="120" w:after="120"/>
              <w:ind w:hanging="357"/>
              <w:contextualSpacing w:val="0"/>
              <w:rPr>
                <w:rFonts w:ascii="Arial" w:hAnsi="Arial" w:cs="Arial"/>
                <w:sz w:val="24"/>
                <w:szCs w:val="24"/>
              </w:rPr>
            </w:pPr>
            <w:r>
              <w:rPr>
                <w:rFonts w:ascii="Arial" w:hAnsi="Arial" w:cs="Arial"/>
                <w:sz w:val="24"/>
                <w:szCs w:val="24"/>
              </w:rPr>
              <w:t>Each Committee is constituted as a standing committee of the Trust Board in accordance with its Constitution.</w:t>
            </w:r>
          </w:p>
          <w:p w14:paraId="2305C7BF" w14:textId="3D79066C" w:rsidR="00AA689E" w:rsidRDefault="00DB78AF" w:rsidP="00AA689E">
            <w:pPr>
              <w:pStyle w:val="ListParagraph"/>
              <w:numPr>
                <w:ilvl w:val="0"/>
                <w:numId w:val="13"/>
              </w:numPr>
              <w:spacing w:before="120" w:after="120"/>
              <w:ind w:hanging="357"/>
              <w:contextualSpacing w:val="0"/>
              <w:rPr>
                <w:rFonts w:ascii="Arial" w:hAnsi="Arial" w:cs="Arial"/>
                <w:sz w:val="24"/>
                <w:szCs w:val="24"/>
              </w:rPr>
            </w:pPr>
            <w:r>
              <w:rPr>
                <w:rFonts w:ascii="Arial" w:hAnsi="Arial" w:cs="Arial"/>
                <w:sz w:val="24"/>
                <w:szCs w:val="24"/>
              </w:rPr>
              <w:t>Each Committee is authorised to act within the powers delegated to it as set out in the Trust’s Scheme of Delegation.</w:t>
            </w:r>
          </w:p>
          <w:p w14:paraId="66F81FB2" w14:textId="53CB525A" w:rsidR="00DB78AF" w:rsidRDefault="00DB78AF" w:rsidP="00AA689E">
            <w:pPr>
              <w:pStyle w:val="ListParagraph"/>
              <w:numPr>
                <w:ilvl w:val="0"/>
                <w:numId w:val="13"/>
              </w:numPr>
              <w:spacing w:before="120" w:after="120"/>
              <w:ind w:hanging="357"/>
              <w:contextualSpacing w:val="0"/>
              <w:rPr>
                <w:rFonts w:ascii="Arial" w:hAnsi="Arial" w:cs="Arial"/>
                <w:sz w:val="24"/>
                <w:szCs w:val="24"/>
              </w:rPr>
            </w:pPr>
            <w:r>
              <w:rPr>
                <w:rFonts w:ascii="Arial" w:hAnsi="Arial" w:cs="Arial"/>
                <w:sz w:val="24"/>
                <w:szCs w:val="24"/>
              </w:rPr>
              <w:t>Each Committee is authorised to act within its agreed Terms of Reference.  All members of staff are required to co-operate with any request made by each Committee</w:t>
            </w:r>
            <w:r w:rsidR="00917432">
              <w:rPr>
                <w:rFonts w:ascii="Arial" w:hAnsi="Arial" w:cs="Arial"/>
                <w:sz w:val="24"/>
                <w:szCs w:val="24"/>
              </w:rPr>
              <w:t>.</w:t>
            </w:r>
          </w:p>
          <w:p w14:paraId="05CE4FB3" w14:textId="514AD1C3" w:rsidR="00DB78AF" w:rsidRDefault="00DB78AF" w:rsidP="00AA689E">
            <w:pPr>
              <w:pStyle w:val="ListParagraph"/>
              <w:numPr>
                <w:ilvl w:val="0"/>
                <w:numId w:val="13"/>
              </w:numPr>
              <w:spacing w:before="120" w:after="120"/>
              <w:ind w:hanging="357"/>
              <w:contextualSpacing w:val="0"/>
              <w:rPr>
                <w:rFonts w:ascii="Arial" w:hAnsi="Arial" w:cs="Arial"/>
                <w:sz w:val="24"/>
                <w:szCs w:val="24"/>
              </w:rPr>
            </w:pPr>
            <w:r>
              <w:rPr>
                <w:rFonts w:ascii="Arial" w:hAnsi="Arial" w:cs="Arial"/>
                <w:sz w:val="24"/>
                <w:szCs w:val="24"/>
              </w:rPr>
              <w:t>Each Committee is authorised by the Board of Directors to obtain such internal and external information as is necessary and expedient to the fulfilment of its functions.</w:t>
            </w:r>
          </w:p>
          <w:p w14:paraId="67D8D48C" w14:textId="77777777" w:rsidR="003B6E92" w:rsidRPr="00AA689E" w:rsidRDefault="003B6E92" w:rsidP="00DB78AF">
            <w:pPr>
              <w:pStyle w:val="ListParagraph"/>
              <w:spacing w:before="120" w:after="120"/>
              <w:ind w:left="360"/>
              <w:contextualSpacing w:val="0"/>
              <w:rPr>
                <w:rFonts w:ascii="Arial" w:hAnsi="Arial" w:cs="Arial"/>
                <w:sz w:val="24"/>
                <w:szCs w:val="24"/>
              </w:rPr>
            </w:pPr>
          </w:p>
        </w:tc>
      </w:tr>
    </w:tbl>
    <w:p w14:paraId="47EDE2B4" w14:textId="77777777" w:rsidR="003B6E92" w:rsidRPr="0089533A" w:rsidRDefault="003B6E92" w:rsidP="00583C86">
      <w:pPr>
        <w:spacing w:after="0"/>
        <w:rPr>
          <w:rFonts w:ascii="Arial" w:hAnsi="Arial" w:cs="Arial"/>
          <w:sz w:val="24"/>
          <w:szCs w:val="24"/>
        </w:rPr>
      </w:pPr>
    </w:p>
    <w:p w14:paraId="0C1EFC72" w14:textId="7BD721BC" w:rsidR="003B6E92" w:rsidRPr="0089533A" w:rsidRDefault="00DB78AF" w:rsidP="00583C86">
      <w:pPr>
        <w:spacing w:after="0"/>
        <w:rPr>
          <w:rFonts w:ascii="Arial" w:hAnsi="Arial" w:cs="Arial"/>
          <w:b/>
          <w:sz w:val="24"/>
          <w:szCs w:val="24"/>
        </w:rPr>
      </w:pPr>
      <w:r>
        <w:rPr>
          <w:rFonts w:ascii="Arial" w:hAnsi="Arial" w:cs="Arial"/>
          <w:b/>
          <w:sz w:val="24"/>
          <w:szCs w:val="24"/>
        </w:rPr>
        <w:t>Personal Development</w:t>
      </w:r>
    </w:p>
    <w:tbl>
      <w:tblPr>
        <w:tblStyle w:val="TableGrid"/>
        <w:tblW w:w="0" w:type="auto"/>
        <w:tblLook w:val="04A0" w:firstRow="1" w:lastRow="0" w:firstColumn="1" w:lastColumn="0" w:noHBand="0" w:noVBand="1"/>
      </w:tblPr>
      <w:tblGrid>
        <w:gridCol w:w="9854"/>
      </w:tblGrid>
      <w:tr w:rsidR="003B6E92" w:rsidRPr="0089533A" w14:paraId="58B3825C" w14:textId="77777777" w:rsidTr="003B6E92">
        <w:tc>
          <w:tcPr>
            <w:tcW w:w="9854" w:type="dxa"/>
          </w:tcPr>
          <w:p w14:paraId="1BC747DB" w14:textId="27EEF00E" w:rsidR="00AA689E" w:rsidRPr="00AA689E" w:rsidRDefault="00DB78AF" w:rsidP="00AA689E">
            <w:pPr>
              <w:pStyle w:val="ListParagraph"/>
              <w:numPr>
                <w:ilvl w:val="0"/>
                <w:numId w:val="15"/>
              </w:numPr>
              <w:spacing w:before="120" w:after="120"/>
              <w:contextualSpacing w:val="0"/>
              <w:rPr>
                <w:rFonts w:ascii="Arial" w:hAnsi="Arial" w:cs="Arial"/>
                <w:sz w:val="24"/>
                <w:szCs w:val="24"/>
              </w:rPr>
            </w:pPr>
            <w:r>
              <w:rPr>
                <w:rFonts w:ascii="Arial" w:hAnsi="Arial" w:cs="Arial"/>
                <w:sz w:val="24"/>
                <w:szCs w:val="24"/>
              </w:rPr>
              <w:t>All Non-Executive Directors are required to participate in the CPFT induction programme that will include reading induction material, attending workshops, partnering Executive Directors and attending meetings.</w:t>
            </w:r>
          </w:p>
          <w:p w14:paraId="471C5701" w14:textId="75EE8B01" w:rsidR="00AA689E" w:rsidRDefault="00DB78AF" w:rsidP="00AA689E">
            <w:pPr>
              <w:pStyle w:val="ListParagraph"/>
              <w:numPr>
                <w:ilvl w:val="0"/>
                <w:numId w:val="15"/>
              </w:numPr>
              <w:spacing w:before="120" w:after="120"/>
              <w:ind w:hanging="357"/>
              <w:contextualSpacing w:val="0"/>
              <w:rPr>
                <w:rFonts w:ascii="Arial" w:hAnsi="Arial" w:cs="Arial"/>
                <w:sz w:val="24"/>
                <w:szCs w:val="24"/>
              </w:rPr>
            </w:pPr>
            <w:r>
              <w:rPr>
                <w:rFonts w:ascii="Arial" w:hAnsi="Arial" w:cs="Arial"/>
                <w:sz w:val="24"/>
                <w:szCs w:val="24"/>
              </w:rPr>
              <w:t xml:space="preserve">It is a legal requirement for all of the Trust’s senior management team to be approved as a Fit and Proper Person as part of the Terms of Employment, requirements for this </w:t>
            </w:r>
            <w:r>
              <w:rPr>
                <w:rFonts w:ascii="Arial" w:hAnsi="Arial" w:cs="Arial"/>
                <w:sz w:val="24"/>
                <w:szCs w:val="24"/>
              </w:rPr>
              <w:lastRenderedPageBreak/>
              <w:t>are as follows:</w:t>
            </w:r>
          </w:p>
          <w:p w14:paraId="5B579E72" w14:textId="260EECDC" w:rsidR="00DB78AF" w:rsidRDefault="00DB78AF" w:rsidP="00DB78AF">
            <w:pPr>
              <w:pStyle w:val="ListParagraph"/>
              <w:numPr>
                <w:ilvl w:val="0"/>
                <w:numId w:val="24"/>
              </w:numPr>
              <w:spacing w:before="120" w:after="120"/>
              <w:contextualSpacing w:val="0"/>
              <w:rPr>
                <w:rFonts w:ascii="Arial" w:hAnsi="Arial" w:cs="Arial"/>
                <w:sz w:val="24"/>
                <w:szCs w:val="24"/>
              </w:rPr>
            </w:pPr>
            <w:r>
              <w:rPr>
                <w:rFonts w:ascii="Arial" w:hAnsi="Arial" w:cs="Arial"/>
                <w:sz w:val="24"/>
                <w:szCs w:val="24"/>
              </w:rPr>
              <w:t>The completion of an Enhanced Disclosure and Barring Service check (DBS)</w:t>
            </w:r>
          </w:p>
          <w:p w14:paraId="25A16AD9" w14:textId="32322747" w:rsidR="00DB78AF" w:rsidRDefault="00DB78AF" w:rsidP="00DB78AF">
            <w:pPr>
              <w:pStyle w:val="ListParagraph"/>
              <w:numPr>
                <w:ilvl w:val="0"/>
                <w:numId w:val="24"/>
              </w:numPr>
              <w:spacing w:before="120" w:after="120"/>
              <w:contextualSpacing w:val="0"/>
              <w:rPr>
                <w:rFonts w:ascii="Arial" w:hAnsi="Arial" w:cs="Arial"/>
                <w:sz w:val="24"/>
                <w:szCs w:val="24"/>
              </w:rPr>
            </w:pPr>
            <w:r>
              <w:rPr>
                <w:rFonts w:ascii="Arial" w:hAnsi="Arial" w:cs="Arial"/>
                <w:sz w:val="24"/>
                <w:szCs w:val="24"/>
              </w:rPr>
              <w:t>All Non-Executive Directors must declare any standing interests to the Trust, including pecuniary interests.  Completing a ‘Declaration of Interests’ form does this.</w:t>
            </w:r>
          </w:p>
          <w:p w14:paraId="057180C7" w14:textId="2768866E" w:rsidR="00AA689E" w:rsidRPr="00DB78AF" w:rsidRDefault="00DB78AF" w:rsidP="00DB78AF">
            <w:pPr>
              <w:pStyle w:val="ListParagraph"/>
              <w:numPr>
                <w:ilvl w:val="0"/>
                <w:numId w:val="24"/>
              </w:numPr>
              <w:spacing w:before="120" w:after="120"/>
              <w:contextualSpacing w:val="0"/>
              <w:rPr>
                <w:rFonts w:ascii="Arial" w:hAnsi="Arial" w:cs="Arial"/>
                <w:sz w:val="24"/>
                <w:szCs w:val="24"/>
              </w:rPr>
            </w:pPr>
            <w:r>
              <w:rPr>
                <w:rFonts w:ascii="Arial" w:hAnsi="Arial" w:cs="Arial"/>
                <w:sz w:val="24"/>
                <w:szCs w:val="24"/>
              </w:rPr>
              <w:t>The completion of a Fit and proper Persons declaration.</w:t>
            </w:r>
          </w:p>
          <w:p w14:paraId="7768B0B6" w14:textId="77777777" w:rsidR="003B6E92" w:rsidRDefault="00DB78AF" w:rsidP="00AA689E">
            <w:pPr>
              <w:pStyle w:val="ListParagraph"/>
              <w:numPr>
                <w:ilvl w:val="0"/>
                <w:numId w:val="15"/>
              </w:numPr>
              <w:spacing w:before="120" w:after="120"/>
              <w:contextualSpacing w:val="0"/>
              <w:rPr>
                <w:rFonts w:ascii="Arial" w:hAnsi="Arial" w:cs="Arial"/>
                <w:sz w:val="24"/>
                <w:szCs w:val="24"/>
              </w:rPr>
            </w:pPr>
            <w:r>
              <w:rPr>
                <w:rFonts w:ascii="Arial" w:hAnsi="Arial" w:cs="Arial"/>
                <w:sz w:val="24"/>
                <w:szCs w:val="24"/>
              </w:rPr>
              <w:t>As part of the on-going development of each Non-Executive Director they are required to visit services across the Trust and provide a report of their findings to the Board of Directors.</w:t>
            </w:r>
          </w:p>
          <w:p w14:paraId="6E65F6A1" w14:textId="4E485456" w:rsidR="00DB78AF" w:rsidRPr="0089533A" w:rsidRDefault="00DB78AF" w:rsidP="00AA689E">
            <w:pPr>
              <w:pStyle w:val="ListParagraph"/>
              <w:numPr>
                <w:ilvl w:val="0"/>
                <w:numId w:val="15"/>
              </w:numPr>
              <w:spacing w:before="120" w:after="120"/>
              <w:contextualSpacing w:val="0"/>
              <w:rPr>
                <w:rFonts w:ascii="Arial" w:hAnsi="Arial" w:cs="Arial"/>
                <w:sz w:val="24"/>
                <w:szCs w:val="24"/>
              </w:rPr>
            </w:pPr>
            <w:r>
              <w:rPr>
                <w:rFonts w:ascii="Arial" w:hAnsi="Arial" w:cs="Arial"/>
                <w:sz w:val="24"/>
                <w:szCs w:val="24"/>
              </w:rPr>
              <w:t>Complete an annual appraisal with the Trust Chair, conclusions from which will include any future objectives.  As part of this, completion of the annual Board Self-Assessment form is also a mandatory requirement.</w:t>
            </w:r>
          </w:p>
        </w:tc>
      </w:tr>
    </w:tbl>
    <w:p w14:paraId="799CF7A2" w14:textId="77777777" w:rsidR="003B6E92" w:rsidRDefault="003B6E92" w:rsidP="00583C86">
      <w:pPr>
        <w:spacing w:after="0"/>
        <w:rPr>
          <w:rFonts w:ascii="Arial" w:hAnsi="Arial" w:cs="Arial"/>
          <w:sz w:val="24"/>
          <w:szCs w:val="24"/>
        </w:rPr>
      </w:pPr>
    </w:p>
    <w:p w14:paraId="15D4F77E" w14:textId="77777777" w:rsidR="00AF6822" w:rsidRDefault="00AF6822" w:rsidP="00583C86">
      <w:pPr>
        <w:spacing w:after="0"/>
        <w:rPr>
          <w:rFonts w:ascii="Arial" w:hAnsi="Arial" w:cs="Arial"/>
          <w:sz w:val="24"/>
          <w:szCs w:val="24"/>
        </w:rPr>
      </w:pPr>
    </w:p>
    <w:p w14:paraId="26275725" w14:textId="77777777" w:rsidR="0008242F" w:rsidRPr="0089533A" w:rsidRDefault="0008242F" w:rsidP="00583C86">
      <w:pPr>
        <w:spacing w:after="0"/>
        <w:rPr>
          <w:rFonts w:ascii="Arial" w:hAnsi="Arial" w:cs="Arial"/>
          <w:sz w:val="24"/>
          <w:szCs w:val="24"/>
        </w:rPr>
      </w:pPr>
    </w:p>
    <w:p w14:paraId="4E46ED06" w14:textId="3CD822D1" w:rsidR="003B6E92" w:rsidRPr="0089533A" w:rsidRDefault="00F10139" w:rsidP="00583C86">
      <w:pPr>
        <w:spacing w:after="0"/>
        <w:rPr>
          <w:rFonts w:ascii="Arial" w:hAnsi="Arial" w:cs="Arial"/>
          <w:b/>
          <w:sz w:val="24"/>
          <w:szCs w:val="24"/>
        </w:rPr>
      </w:pPr>
      <w:r>
        <w:rPr>
          <w:rFonts w:ascii="Arial" w:hAnsi="Arial" w:cs="Arial"/>
          <w:b/>
          <w:sz w:val="24"/>
          <w:szCs w:val="24"/>
        </w:rPr>
        <w:t>Time Commitment:</w:t>
      </w:r>
    </w:p>
    <w:tbl>
      <w:tblPr>
        <w:tblStyle w:val="TableGrid"/>
        <w:tblW w:w="0" w:type="auto"/>
        <w:tblLook w:val="04A0" w:firstRow="1" w:lastRow="0" w:firstColumn="1" w:lastColumn="0" w:noHBand="0" w:noVBand="1"/>
      </w:tblPr>
      <w:tblGrid>
        <w:gridCol w:w="9854"/>
      </w:tblGrid>
      <w:tr w:rsidR="003B6E92" w:rsidRPr="0089533A" w14:paraId="001CD214" w14:textId="77777777" w:rsidTr="003B6E92">
        <w:tc>
          <w:tcPr>
            <w:tcW w:w="9854" w:type="dxa"/>
          </w:tcPr>
          <w:p w14:paraId="11FFDD11" w14:textId="2B6D94E4" w:rsidR="00AA689E" w:rsidRDefault="00F10139" w:rsidP="00AA689E">
            <w:pPr>
              <w:pStyle w:val="ListParagraph"/>
              <w:numPr>
                <w:ilvl w:val="0"/>
                <w:numId w:val="16"/>
              </w:numPr>
              <w:spacing w:before="120" w:after="120"/>
              <w:contextualSpacing w:val="0"/>
              <w:rPr>
                <w:rFonts w:ascii="Arial" w:hAnsi="Arial" w:cs="Arial"/>
                <w:sz w:val="24"/>
                <w:szCs w:val="24"/>
              </w:rPr>
            </w:pPr>
            <w:r>
              <w:rPr>
                <w:rFonts w:ascii="Arial" w:hAnsi="Arial" w:cs="Arial"/>
                <w:sz w:val="24"/>
                <w:szCs w:val="24"/>
              </w:rPr>
              <w:t>It is the responsibility of the Non-Executive Director to ensure that they make sufficient time in order to discharge their responsibilities effectively.  This is contracted as 3 days per month.</w:t>
            </w:r>
          </w:p>
          <w:p w14:paraId="25F5BC9B" w14:textId="2EA9F021" w:rsidR="00F10139" w:rsidRDefault="00F10139" w:rsidP="00AA689E">
            <w:pPr>
              <w:pStyle w:val="ListParagraph"/>
              <w:numPr>
                <w:ilvl w:val="0"/>
                <w:numId w:val="16"/>
              </w:numPr>
              <w:spacing w:before="120" w:after="120"/>
              <w:contextualSpacing w:val="0"/>
              <w:rPr>
                <w:rFonts w:ascii="Arial" w:hAnsi="Arial" w:cs="Arial"/>
                <w:sz w:val="24"/>
                <w:szCs w:val="24"/>
              </w:rPr>
            </w:pPr>
            <w:r>
              <w:rPr>
                <w:rFonts w:ascii="Arial" w:hAnsi="Arial" w:cs="Arial"/>
                <w:sz w:val="24"/>
                <w:szCs w:val="24"/>
              </w:rPr>
              <w:t>The Non-Executive Director must inform the Trust Secretary of any on-going time commitments prior to their employment.</w:t>
            </w:r>
          </w:p>
          <w:p w14:paraId="3845ED96" w14:textId="027532AE" w:rsidR="00AA689E" w:rsidRPr="00627791" w:rsidRDefault="00F10139" w:rsidP="00F10139">
            <w:pPr>
              <w:pStyle w:val="ListParagraph"/>
              <w:numPr>
                <w:ilvl w:val="0"/>
                <w:numId w:val="16"/>
              </w:numPr>
              <w:spacing w:before="120" w:after="120"/>
              <w:contextualSpacing w:val="0"/>
              <w:rPr>
                <w:rFonts w:ascii="Arial" w:hAnsi="Arial" w:cs="Arial"/>
                <w:sz w:val="24"/>
                <w:szCs w:val="24"/>
              </w:rPr>
            </w:pPr>
            <w:r w:rsidRPr="00627791">
              <w:rPr>
                <w:rFonts w:ascii="Arial" w:hAnsi="Arial" w:cs="Arial"/>
                <w:sz w:val="24"/>
                <w:szCs w:val="24"/>
              </w:rPr>
              <w:t>If anything should occur that would impact on the ability to fulfil the time requirement then the Trust Secretary should be notified as soon as is reasonably possible.</w:t>
            </w:r>
          </w:p>
          <w:p w14:paraId="768FA794" w14:textId="55D06F2D" w:rsidR="00F10139" w:rsidRPr="00AA689E" w:rsidRDefault="00F10139" w:rsidP="00F10139">
            <w:pPr>
              <w:pStyle w:val="ListParagraph"/>
              <w:spacing w:before="120" w:after="120"/>
              <w:ind w:left="360"/>
              <w:contextualSpacing w:val="0"/>
              <w:rPr>
                <w:rFonts w:ascii="Arial" w:hAnsi="Arial" w:cs="Arial"/>
                <w:sz w:val="24"/>
                <w:szCs w:val="24"/>
              </w:rPr>
            </w:pPr>
          </w:p>
        </w:tc>
      </w:tr>
    </w:tbl>
    <w:p w14:paraId="6CB3FFBC" w14:textId="77777777" w:rsidR="003B6E92" w:rsidRPr="0089533A" w:rsidRDefault="003B6E92" w:rsidP="00583C86">
      <w:pPr>
        <w:spacing w:after="0"/>
        <w:rPr>
          <w:rFonts w:ascii="Arial" w:hAnsi="Arial" w:cs="Arial"/>
          <w:sz w:val="24"/>
          <w:szCs w:val="24"/>
        </w:rPr>
      </w:pPr>
    </w:p>
    <w:p w14:paraId="5066D186" w14:textId="6DB85DF8" w:rsidR="003B6E92" w:rsidRPr="0089533A" w:rsidRDefault="003B6E92" w:rsidP="00583C86">
      <w:pPr>
        <w:spacing w:after="0"/>
        <w:rPr>
          <w:rFonts w:ascii="Arial" w:hAnsi="Arial" w:cs="Arial"/>
          <w:b/>
          <w:sz w:val="24"/>
          <w:szCs w:val="24"/>
        </w:rPr>
      </w:pPr>
    </w:p>
    <w:p w14:paraId="23D7BE08" w14:textId="77777777" w:rsidR="003B6E92" w:rsidRPr="0089533A" w:rsidRDefault="003B6E92" w:rsidP="006B3063">
      <w:pPr>
        <w:spacing w:after="0"/>
        <w:jc w:val="both"/>
        <w:rPr>
          <w:rFonts w:ascii="Arial" w:hAnsi="Arial" w:cs="Arial"/>
          <w:b/>
          <w:sz w:val="24"/>
          <w:szCs w:val="24"/>
        </w:rPr>
      </w:pPr>
      <w:r w:rsidRPr="0089533A">
        <w:rPr>
          <w:rFonts w:ascii="Arial" w:hAnsi="Arial" w:cs="Arial"/>
          <w:b/>
          <w:sz w:val="24"/>
          <w:szCs w:val="24"/>
        </w:rPr>
        <w:t>Quality &amp; Patient Safety</w:t>
      </w:r>
    </w:p>
    <w:tbl>
      <w:tblPr>
        <w:tblStyle w:val="TableGrid"/>
        <w:tblW w:w="0" w:type="auto"/>
        <w:tblLook w:val="04A0" w:firstRow="1" w:lastRow="0" w:firstColumn="1" w:lastColumn="0" w:noHBand="0" w:noVBand="1"/>
      </w:tblPr>
      <w:tblGrid>
        <w:gridCol w:w="9854"/>
      </w:tblGrid>
      <w:tr w:rsidR="003B6E92" w:rsidRPr="0089533A" w14:paraId="3A79AF3A" w14:textId="77777777" w:rsidTr="003B6E92">
        <w:tc>
          <w:tcPr>
            <w:tcW w:w="9854" w:type="dxa"/>
          </w:tcPr>
          <w:p w14:paraId="26A1ED6F" w14:textId="77777777"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Protection of Children &amp; Vulnerable Adults – To promote and safeguard the welfare of children, young people and vulnerable adults.</w:t>
            </w:r>
          </w:p>
          <w:p w14:paraId="2D1E7B77" w14:textId="6E562255"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Implementation of NICE guidance and other statutory / best practice guidelines</w:t>
            </w:r>
            <w:r w:rsidR="00917432">
              <w:rPr>
                <w:rFonts w:ascii="Arial" w:hAnsi="Arial" w:cs="Arial"/>
                <w:sz w:val="24"/>
                <w:szCs w:val="24"/>
              </w:rPr>
              <w:t xml:space="preserve"> </w:t>
            </w:r>
            <w:r w:rsidRPr="0089533A">
              <w:rPr>
                <w:rFonts w:ascii="Arial" w:hAnsi="Arial" w:cs="Arial"/>
                <w:sz w:val="24"/>
                <w:szCs w:val="24"/>
              </w:rPr>
              <w:t>(if appropriate)</w:t>
            </w:r>
            <w:r w:rsidR="00917432">
              <w:rPr>
                <w:rFonts w:ascii="Arial" w:hAnsi="Arial" w:cs="Arial"/>
                <w:sz w:val="24"/>
                <w:szCs w:val="24"/>
              </w:rPr>
              <w:t>.</w:t>
            </w:r>
          </w:p>
          <w:p w14:paraId="05734A4B" w14:textId="77777777"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Infection Control - To be responsible for the prevention and control of infection.</w:t>
            </w:r>
          </w:p>
          <w:p w14:paraId="32F5CC5B" w14:textId="77777777"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Incident reporting - To report any incidents of harm or near miss in line with the Trust’s incident reporting policy ensuring appropriate actions are taken to reduce the risk of reoccurrence.</w:t>
            </w:r>
          </w:p>
          <w:p w14:paraId="1AAD7FE0" w14:textId="77777777"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To contribute to the identification, management and reduction of risk in the area of responsibility.</w:t>
            </w:r>
          </w:p>
          <w:p w14:paraId="0D0F6C6D" w14:textId="77777777"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 xml:space="preserve">To ensure day to day practice reflects the highest </w:t>
            </w:r>
            <w:r w:rsidR="006B3063" w:rsidRPr="0089533A">
              <w:rPr>
                <w:rFonts w:ascii="Arial" w:hAnsi="Arial" w:cs="Arial"/>
                <w:sz w:val="24"/>
                <w:szCs w:val="24"/>
              </w:rPr>
              <w:t>standards of</w:t>
            </w:r>
            <w:r w:rsidRPr="0089533A">
              <w:rPr>
                <w:rFonts w:ascii="Arial" w:hAnsi="Arial" w:cs="Arial"/>
                <w:sz w:val="24"/>
                <w:szCs w:val="24"/>
              </w:rPr>
              <w:t xml:space="preserve"> governance, clinical effectiveness, safety and </w:t>
            </w:r>
            <w:r w:rsidR="0008242F" w:rsidRPr="0089533A">
              <w:rPr>
                <w:rFonts w:ascii="Arial" w:hAnsi="Arial" w:cs="Arial"/>
                <w:sz w:val="24"/>
                <w:szCs w:val="24"/>
              </w:rPr>
              <w:t>patient experience</w:t>
            </w:r>
            <w:r w:rsidRPr="0089533A">
              <w:rPr>
                <w:rFonts w:ascii="Arial" w:hAnsi="Arial" w:cs="Arial"/>
                <w:sz w:val="24"/>
                <w:szCs w:val="24"/>
              </w:rPr>
              <w:t>.</w:t>
            </w:r>
          </w:p>
          <w:p w14:paraId="23BF3FFB" w14:textId="77777777"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To ensure monitoring of quality and compliance with standards is demonstrable within the service on an ongoing basis.</w:t>
            </w:r>
          </w:p>
          <w:p w14:paraId="7B06445D" w14:textId="77777777" w:rsidR="003B6E92" w:rsidRPr="0089533A" w:rsidRDefault="003B6E92" w:rsidP="006B3063">
            <w:pPr>
              <w:pStyle w:val="ListParagraph"/>
              <w:numPr>
                <w:ilvl w:val="0"/>
                <w:numId w:val="6"/>
              </w:numPr>
              <w:jc w:val="both"/>
              <w:rPr>
                <w:rFonts w:ascii="Arial" w:hAnsi="Arial" w:cs="Arial"/>
                <w:sz w:val="24"/>
                <w:szCs w:val="24"/>
              </w:rPr>
            </w:pPr>
            <w:r w:rsidRPr="0089533A">
              <w:rPr>
                <w:rFonts w:ascii="Arial" w:hAnsi="Arial" w:cs="Arial"/>
                <w:sz w:val="24"/>
                <w:szCs w:val="24"/>
              </w:rPr>
              <w:t>To be aware of the responsibility of all employees to maintain a safe and healthy environment for patients/ clients, visitors and staff.</w:t>
            </w:r>
          </w:p>
        </w:tc>
      </w:tr>
    </w:tbl>
    <w:p w14:paraId="69441F41" w14:textId="77777777" w:rsidR="003B6E92" w:rsidRDefault="003B6E92" w:rsidP="006B3063">
      <w:pPr>
        <w:spacing w:after="0"/>
        <w:jc w:val="both"/>
        <w:rPr>
          <w:rFonts w:ascii="Arial" w:hAnsi="Arial" w:cs="Arial"/>
          <w:sz w:val="24"/>
          <w:szCs w:val="24"/>
        </w:rPr>
      </w:pPr>
    </w:p>
    <w:p w14:paraId="757002FC" w14:textId="77777777" w:rsidR="006B3063" w:rsidRPr="0089533A" w:rsidRDefault="006B3063" w:rsidP="006B3063">
      <w:pPr>
        <w:spacing w:after="0"/>
        <w:jc w:val="both"/>
        <w:rPr>
          <w:rFonts w:ascii="Arial" w:hAnsi="Arial" w:cs="Arial"/>
          <w:b/>
          <w:sz w:val="24"/>
          <w:szCs w:val="24"/>
        </w:rPr>
      </w:pPr>
      <w:r w:rsidRPr="0089533A">
        <w:rPr>
          <w:rFonts w:ascii="Arial" w:hAnsi="Arial" w:cs="Arial"/>
          <w:b/>
          <w:sz w:val="24"/>
          <w:szCs w:val="24"/>
        </w:rPr>
        <w:t>General</w:t>
      </w:r>
    </w:p>
    <w:tbl>
      <w:tblPr>
        <w:tblStyle w:val="TableGrid"/>
        <w:tblW w:w="0" w:type="auto"/>
        <w:tblLook w:val="04A0" w:firstRow="1" w:lastRow="0" w:firstColumn="1" w:lastColumn="0" w:noHBand="0" w:noVBand="1"/>
      </w:tblPr>
      <w:tblGrid>
        <w:gridCol w:w="9854"/>
      </w:tblGrid>
      <w:tr w:rsidR="006B3063" w:rsidRPr="0089533A" w14:paraId="14FF6861" w14:textId="77777777" w:rsidTr="006B3063">
        <w:tc>
          <w:tcPr>
            <w:tcW w:w="9854" w:type="dxa"/>
          </w:tcPr>
          <w:p w14:paraId="652F7FD8" w14:textId="77777777" w:rsidR="006B3063" w:rsidRPr="0089533A" w:rsidRDefault="006B3063" w:rsidP="006B3063">
            <w:pPr>
              <w:pStyle w:val="ListParagraph"/>
              <w:numPr>
                <w:ilvl w:val="0"/>
                <w:numId w:val="7"/>
              </w:numPr>
              <w:jc w:val="both"/>
              <w:rPr>
                <w:rFonts w:ascii="Arial" w:hAnsi="Arial" w:cs="Arial"/>
                <w:sz w:val="24"/>
                <w:szCs w:val="24"/>
              </w:rPr>
            </w:pPr>
            <w:r w:rsidRPr="0089533A">
              <w:rPr>
                <w:rFonts w:ascii="Arial" w:hAnsi="Arial" w:cs="Arial"/>
                <w:sz w:val="24"/>
                <w:szCs w:val="24"/>
              </w:rPr>
              <w:lastRenderedPageBreak/>
              <w:t xml:space="preserve">To maintain up to date knowledge of legislation, national and local policies and issues in relation to both the specific client group and mental health. </w:t>
            </w:r>
          </w:p>
          <w:p w14:paraId="6A487CE0" w14:textId="77777777" w:rsidR="006B3063" w:rsidRPr="0089533A" w:rsidRDefault="006B3063" w:rsidP="006B3063">
            <w:pPr>
              <w:pStyle w:val="ListParagraph"/>
              <w:numPr>
                <w:ilvl w:val="0"/>
                <w:numId w:val="7"/>
              </w:numPr>
              <w:jc w:val="both"/>
              <w:rPr>
                <w:rFonts w:ascii="Arial" w:hAnsi="Arial" w:cs="Arial"/>
                <w:sz w:val="24"/>
                <w:szCs w:val="24"/>
              </w:rPr>
            </w:pPr>
            <w:r w:rsidRPr="0089533A">
              <w:rPr>
                <w:rFonts w:ascii="Arial" w:hAnsi="Arial" w:cs="Arial"/>
                <w:sz w:val="24"/>
                <w:szCs w:val="24"/>
              </w:rPr>
              <w:t>To comply with the Professional Codes of Conduct and to be aware of changes in these. To maintain up to date knowledge of all relevant legislation and local policies and procedures implementing this.</w:t>
            </w:r>
          </w:p>
          <w:p w14:paraId="79EB7D6E" w14:textId="77777777" w:rsidR="006B3063" w:rsidRPr="0089533A" w:rsidRDefault="006B3063" w:rsidP="006B3063">
            <w:pPr>
              <w:pStyle w:val="ListParagraph"/>
              <w:numPr>
                <w:ilvl w:val="0"/>
                <w:numId w:val="7"/>
              </w:numPr>
              <w:jc w:val="both"/>
              <w:rPr>
                <w:rFonts w:ascii="Arial" w:hAnsi="Arial" w:cs="Arial"/>
                <w:sz w:val="24"/>
                <w:szCs w:val="24"/>
              </w:rPr>
            </w:pPr>
            <w:r w:rsidRPr="0089533A">
              <w:rPr>
                <w:rFonts w:ascii="Arial" w:hAnsi="Arial" w:cs="Arial"/>
                <w:sz w:val="24"/>
                <w:szCs w:val="24"/>
              </w:rPr>
              <w:t>To ensure that all duties are carried out to the highest standard and in accordance with currently quality initiatives within the work area.</w:t>
            </w:r>
          </w:p>
          <w:p w14:paraId="5A37DFEB" w14:textId="77777777" w:rsidR="006B3063" w:rsidRPr="0089533A" w:rsidRDefault="006B3063" w:rsidP="006B3063">
            <w:pPr>
              <w:pStyle w:val="ListParagraph"/>
              <w:numPr>
                <w:ilvl w:val="0"/>
                <w:numId w:val="7"/>
              </w:numPr>
              <w:jc w:val="both"/>
              <w:rPr>
                <w:rFonts w:ascii="Arial" w:hAnsi="Arial" w:cs="Arial"/>
                <w:sz w:val="24"/>
                <w:szCs w:val="24"/>
              </w:rPr>
            </w:pPr>
            <w:r w:rsidRPr="0089533A">
              <w:rPr>
                <w:rFonts w:ascii="Arial" w:hAnsi="Arial" w:cs="Arial"/>
                <w:sz w:val="24"/>
                <w:szCs w:val="24"/>
              </w:rPr>
              <w:t>To comply with all relevant Trust policies, procedures and guidelines, including those relating to Equal Opportunities, Health and Safety and Confidentiality of Information and to be aware of any changes in these.</w:t>
            </w:r>
          </w:p>
          <w:p w14:paraId="2C96170F" w14:textId="796FF656" w:rsidR="006B3063" w:rsidRPr="0089533A" w:rsidRDefault="006B3063" w:rsidP="006B3063">
            <w:pPr>
              <w:pStyle w:val="ListParagraph"/>
              <w:numPr>
                <w:ilvl w:val="0"/>
                <w:numId w:val="7"/>
              </w:numPr>
              <w:jc w:val="both"/>
              <w:rPr>
                <w:rFonts w:ascii="Arial" w:hAnsi="Arial" w:cs="Arial"/>
                <w:sz w:val="24"/>
                <w:szCs w:val="24"/>
              </w:rPr>
            </w:pPr>
            <w:r w:rsidRPr="0089533A">
              <w:rPr>
                <w:rFonts w:ascii="Arial" w:hAnsi="Arial" w:cs="Arial"/>
                <w:sz w:val="24"/>
                <w:szCs w:val="24"/>
              </w:rPr>
              <w:t xml:space="preserve">To comply at all times with the Trust’s Information Governance related policies. </w:t>
            </w:r>
            <w:proofErr w:type="gramStart"/>
            <w:r w:rsidRPr="0089533A">
              <w:rPr>
                <w:rFonts w:ascii="Arial" w:hAnsi="Arial" w:cs="Arial"/>
                <w:sz w:val="24"/>
                <w:szCs w:val="24"/>
              </w:rPr>
              <w:t>Staff are</w:t>
            </w:r>
            <w:proofErr w:type="gramEnd"/>
            <w:r w:rsidRPr="0089533A">
              <w:rPr>
                <w:rFonts w:ascii="Arial" w:hAnsi="Arial" w:cs="Arial"/>
                <w:sz w:val="24"/>
                <w:szCs w:val="24"/>
              </w:rPr>
              <w:t xml:space="preserve"> required to respect the confidentiality of information about staff, patients and Trust business and in particular the confidentiality and security of personal identifiable information in line with the Data Protection Act. All staff are responsible for ensuring that any data created by them is timely, comprehensive, accurate, and fit for the purposes for which it is intended.</w:t>
            </w:r>
          </w:p>
        </w:tc>
      </w:tr>
    </w:tbl>
    <w:p w14:paraId="2554011F" w14:textId="77777777" w:rsidR="005E50F2" w:rsidRDefault="005E50F2" w:rsidP="006B3063">
      <w:pPr>
        <w:spacing w:after="0"/>
        <w:jc w:val="both"/>
        <w:rPr>
          <w:rFonts w:ascii="Arial" w:hAnsi="Arial" w:cs="Arial"/>
          <w:b/>
          <w:sz w:val="24"/>
          <w:szCs w:val="24"/>
        </w:rPr>
      </w:pPr>
    </w:p>
    <w:p w14:paraId="22BBB85D" w14:textId="77777777" w:rsidR="006B3063" w:rsidRPr="0089533A" w:rsidRDefault="006B3063" w:rsidP="006B3063">
      <w:pPr>
        <w:spacing w:after="0"/>
        <w:jc w:val="both"/>
        <w:rPr>
          <w:rFonts w:ascii="Arial" w:hAnsi="Arial" w:cs="Arial"/>
          <w:b/>
          <w:sz w:val="24"/>
          <w:szCs w:val="24"/>
        </w:rPr>
      </w:pPr>
      <w:r w:rsidRPr="0089533A">
        <w:rPr>
          <w:rFonts w:ascii="Arial" w:hAnsi="Arial" w:cs="Arial"/>
          <w:b/>
          <w:sz w:val="24"/>
          <w:szCs w:val="24"/>
        </w:rPr>
        <w:t>Equality &amp; Diversity</w:t>
      </w:r>
    </w:p>
    <w:tbl>
      <w:tblPr>
        <w:tblStyle w:val="TableGrid"/>
        <w:tblW w:w="0" w:type="auto"/>
        <w:tblLook w:val="04A0" w:firstRow="1" w:lastRow="0" w:firstColumn="1" w:lastColumn="0" w:noHBand="0" w:noVBand="1"/>
      </w:tblPr>
      <w:tblGrid>
        <w:gridCol w:w="9854"/>
      </w:tblGrid>
      <w:tr w:rsidR="006B3063" w:rsidRPr="0089533A" w14:paraId="07100D39" w14:textId="77777777" w:rsidTr="006B3063">
        <w:tc>
          <w:tcPr>
            <w:tcW w:w="9854" w:type="dxa"/>
          </w:tcPr>
          <w:p w14:paraId="169C80CF" w14:textId="535F2AF5" w:rsidR="006B3063" w:rsidRPr="0089533A" w:rsidRDefault="006B3063" w:rsidP="006B3063">
            <w:pPr>
              <w:jc w:val="both"/>
              <w:rPr>
                <w:rFonts w:ascii="Arial" w:hAnsi="Arial" w:cs="Arial"/>
                <w:sz w:val="24"/>
                <w:szCs w:val="24"/>
              </w:rPr>
            </w:pPr>
            <w:r w:rsidRPr="0089533A">
              <w:rPr>
                <w:rFonts w:ascii="Arial" w:hAnsi="Arial" w:cs="Arial"/>
                <w:sz w:val="24"/>
                <w:szCs w:val="24"/>
              </w:rPr>
              <w:t xml:space="preserve">The Trust is committed to equality and diversity and works hard to make sure all staff and service users have access to an environment that is open and free from discrimination. As a Trust we value the diversity of our staff and service users, and therefore recognise and appreciate that everyone associated with the Trust is different and so should be treated in ways that are consistent with their needs and preferences. </w:t>
            </w:r>
          </w:p>
          <w:p w14:paraId="0D064172" w14:textId="77777777" w:rsidR="006B3063" w:rsidRPr="0089533A" w:rsidRDefault="006B3063" w:rsidP="006B3063">
            <w:pPr>
              <w:jc w:val="both"/>
              <w:rPr>
                <w:rFonts w:ascii="Arial" w:hAnsi="Arial" w:cs="Arial"/>
                <w:sz w:val="24"/>
                <w:szCs w:val="24"/>
              </w:rPr>
            </w:pPr>
            <w:r w:rsidRPr="0089533A">
              <w:rPr>
                <w:rFonts w:ascii="Arial" w:hAnsi="Arial" w:cs="Arial"/>
                <w:sz w:val="24"/>
                <w:szCs w:val="24"/>
              </w:rPr>
              <w:t>Therefore all staff are required to be aware of the Trust’s Equality and Diversity Policy and the commitments and responsibilities the Trust has to:</w:t>
            </w:r>
          </w:p>
          <w:p w14:paraId="44096763" w14:textId="77777777" w:rsidR="006B3063" w:rsidRPr="0089533A" w:rsidRDefault="006B3063" w:rsidP="006B3063">
            <w:pPr>
              <w:pStyle w:val="ListParagraph"/>
              <w:numPr>
                <w:ilvl w:val="0"/>
                <w:numId w:val="8"/>
              </w:numPr>
              <w:jc w:val="both"/>
              <w:rPr>
                <w:rFonts w:ascii="Arial" w:hAnsi="Arial" w:cs="Arial"/>
                <w:sz w:val="24"/>
                <w:szCs w:val="24"/>
              </w:rPr>
            </w:pPr>
            <w:r w:rsidRPr="0089533A">
              <w:rPr>
                <w:rFonts w:ascii="Arial" w:hAnsi="Arial" w:cs="Arial"/>
                <w:sz w:val="24"/>
                <w:szCs w:val="24"/>
              </w:rPr>
              <w:t>Eliminate unlawful discrimination, harassment and victimisation and other conduct prohibited by the Act.</w:t>
            </w:r>
          </w:p>
          <w:p w14:paraId="37D02AEA" w14:textId="77777777" w:rsidR="006B3063" w:rsidRPr="0089533A" w:rsidRDefault="006B3063" w:rsidP="006B3063">
            <w:pPr>
              <w:pStyle w:val="ListParagraph"/>
              <w:numPr>
                <w:ilvl w:val="0"/>
                <w:numId w:val="8"/>
              </w:numPr>
              <w:jc w:val="both"/>
              <w:rPr>
                <w:rFonts w:ascii="Arial" w:hAnsi="Arial" w:cs="Arial"/>
                <w:sz w:val="24"/>
                <w:szCs w:val="24"/>
              </w:rPr>
            </w:pPr>
            <w:r w:rsidRPr="0089533A">
              <w:rPr>
                <w:rFonts w:ascii="Arial" w:hAnsi="Arial" w:cs="Arial"/>
                <w:sz w:val="24"/>
                <w:szCs w:val="24"/>
              </w:rPr>
              <w:t xml:space="preserve">Advance equality of opportunity between people who share a protected characteristic and those who do not. </w:t>
            </w:r>
          </w:p>
          <w:p w14:paraId="480B26B4" w14:textId="77777777" w:rsidR="006B3063" w:rsidRPr="0089533A" w:rsidRDefault="006B3063" w:rsidP="006B3063">
            <w:pPr>
              <w:pStyle w:val="ListParagraph"/>
              <w:numPr>
                <w:ilvl w:val="0"/>
                <w:numId w:val="8"/>
              </w:numPr>
              <w:jc w:val="both"/>
              <w:rPr>
                <w:rFonts w:ascii="Arial" w:hAnsi="Arial" w:cs="Arial"/>
                <w:sz w:val="24"/>
                <w:szCs w:val="24"/>
              </w:rPr>
            </w:pPr>
            <w:r w:rsidRPr="0089533A">
              <w:rPr>
                <w:rFonts w:ascii="Arial" w:hAnsi="Arial" w:cs="Arial"/>
                <w:sz w:val="24"/>
                <w:szCs w:val="24"/>
              </w:rPr>
              <w:t>Foster good relations between people who share a protected characteristic and those who do not.</w:t>
            </w:r>
          </w:p>
          <w:p w14:paraId="6ED89D1B" w14:textId="77777777" w:rsidR="006B3063" w:rsidRPr="0089533A" w:rsidRDefault="006B3063" w:rsidP="006B3063">
            <w:pPr>
              <w:jc w:val="both"/>
              <w:rPr>
                <w:rFonts w:ascii="Arial" w:hAnsi="Arial" w:cs="Arial"/>
                <w:sz w:val="24"/>
                <w:szCs w:val="24"/>
              </w:rPr>
            </w:pPr>
            <w:r w:rsidRPr="0089533A">
              <w:rPr>
                <w:rFonts w:ascii="Arial" w:hAnsi="Arial" w:cs="Arial"/>
                <w:sz w:val="24"/>
                <w:szCs w:val="24"/>
              </w:rPr>
              <w:t>We firmly believe that it makes good business sense to have a workforce representative of the communities we serve and so encourage applications from all sections of the community.</w:t>
            </w:r>
          </w:p>
        </w:tc>
      </w:tr>
    </w:tbl>
    <w:p w14:paraId="0DD7F34A" w14:textId="77777777" w:rsidR="006B3063" w:rsidRPr="0089533A" w:rsidRDefault="006B3063" w:rsidP="00583C86">
      <w:pPr>
        <w:spacing w:after="0"/>
        <w:rPr>
          <w:rFonts w:ascii="Arial" w:hAnsi="Arial" w:cs="Arial"/>
          <w:sz w:val="24"/>
          <w:szCs w:val="24"/>
        </w:rPr>
      </w:pPr>
    </w:p>
    <w:p w14:paraId="309D1E79" w14:textId="77777777" w:rsidR="006B3063" w:rsidRPr="0089533A" w:rsidRDefault="006B3063" w:rsidP="006B3063">
      <w:pPr>
        <w:spacing w:after="0"/>
        <w:rPr>
          <w:rFonts w:ascii="Arial" w:hAnsi="Arial" w:cs="Arial"/>
          <w:b/>
          <w:sz w:val="24"/>
          <w:szCs w:val="24"/>
        </w:rPr>
      </w:pPr>
      <w:r w:rsidRPr="0089533A">
        <w:rPr>
          <w:rFonts w:ascii="Arial" w:hAnsi="Arial" w:cs="Arial"/>
          <w:b/>
          <w:sz w:val="24"/>
          <w:szCs w:val="24"/>
        </w:rPr>
        <w:t>To be noted:</w:t>
      </w:r>
    </w:p>
    <w:p w14:paraId="16A6D177" w14:textId="77777777" w:rsidR="006B3063" w:rsidRPr="0089533A" w:rsidRDefault="006B3063" w:rsidP="006B3063">
      <w:pPr>
        <w:pStyle w:val="ListParagraph"/>
        <w:numPr>
          <w:ilvl w:val="0"/>
          <w:numId w:val="9"/>
        </w:numPr>
        <w:spacing w:after="0"/>
        <w:jc w:val="both"/>
        <w:rPr>
          <w:rFonts w:ascii="Arial" w:hAnsi="Arial" w:cs="Arial"/>
          <w:sz w:val="24"/>
          <w:szCs w:val="24"/>
        </w:rPr>
      </w:pPr>
      <w:r w:rsidRPr="0089533A">
        <w:rPr>
          <w:rFonts w:ascii="Arial" w:hAnsi="Arial" w:cs="Arial"/>
          <w:sz w:val="24"/>
          <w:szCs w:val="24"/>
        </w:rPr>
        <w:t>This is not an exhaustive list of duties and responsibilities, and the post holder may be required to undertake other duties, which fall within the grade of the job, in discussion with the manager.</w:t>
      </w:r>
      <w:bookmarkStart w:id="0" w:name="_GoBack"/>
      <w:bookmarkEnd w:id="0"/>
    </w:p>
    <w:p w14:paraId="18BE7CFA" w14:textId="77777777" w:rsidR="006B3063" w:rsidRPr="0089533A" w:rsidRDefault="006B3063" w:rsidP="006B3063">
      <w:pPr>
        <w:pStyle w:val="ListParagraph"/>
        <w:numPr>
          <w:ilvl w:val="0"/>
          <w:numId w:val="9"/>
        </w:numPr>
        <w:spacing w:after="0"/>
        <w:jc w:val="both"/>
        <w:rPr>
          <w:rFonts w:ascii="Arial" w:hAnsi="Arial" w:cs="Arial"/>
          <w:sz w:val="24"/>
          <w:szCs w:val="24"/>
        </w:rPr>
      </w:pPr>
      <w:r w:rsidRPr="0089533A">
        <w:rPr>
          <w:rFonts w:ascii="Arial" w:hAnsi="Arial" w:cs="Arial"/>
          <w:sz w:val="24"/>
          <w:szCs w:val="24"/>
        </w:rPr>
        <w:t>This job description will be reviewed regularly in the light of changing service requirements and any such changes will be discussed with the post holder.</w:t>
      </w:r>
    </w:p>
    <w:p w14:paraId="5ECD45E1" w14:textId="77777777" w:rsidR="006B3063" w:rsidRPr="0089533A" w:rsidRDefault="006B3063" w:rsidP="006B3063">
      <w:pPr>
        <w:pStyle w:val="ListParagraph"/>
        <w:numPr>
          <w:ilvl w:val="0"/>
          <w:numId w:val="9"/>
        </w:numPr>
        <w:spacing w:after="0"/>
        <w:jc w:val="both"/>
        <w:rPr>
          <w:rFonts w:ascii="Arial" w:hAnsi="Arial" w:cs="Arial"/>
          <w:sz w:val="24"/>
          <w:szCs w:val="24"/>
        </w:rPr>
      </w:pPr>
      <w:r w:rsidRPr="0089533A">
        <w:rPr>
          <w:rFonts w:ascii="Arial" w:hAnsi="Arial" w:cs="Arial"/>
          <w:sz w:val="24"/>
          <w:szCs w:val="24"/>
        </w:rPr>
        <w:t>This post is subject to the Rehabilitation of Offenders Act 1974 (Exemption Order 1975) and as such it will be necessary for a submission for disclosure to be made to the Criminal Records Bureau to check for previous criminal convictions. The Trust is committed to the fair treatment of its staff, potential staff or users in line with its Equal Opportunities Policy and policy statement on the recruitment of ex-offenders.</w:t>
      </w:r>
    </w:p>
    <w:p w14:paraId="5DF453CD" w14:textId="07623FB9" w:rsidR="006B3063" w:rsidRPr="0089533A" w:rsidRDefault="006B3063" w:rsidP="00F10139">
      <w:pPr>
        <w:spacing w:after="0"/>
        <w:rPr>
          <w:rFonts w:ascii="Arial" w:hAnsi="Arial" w:cs="Arial"/>
          <w:b/>
          <w:sz w:val="24"/>
          <w:szCs w:val="24"/>
        </w:rPr>
      </w:pPr>
    </w:p>
    <w:p w14:paraId="013FD544" w14:textId="77777777" w:rsidR="006B3063" w:rsidRPr="0089533A" w:rsidRDefault="006B3063" w:rsidP="006B3063">
      <w:pPr>
        <w:spacing w:after="0"/>
        <w:rPr>
          <w:rFonts w:ascii="Arial" w:hAnsi="Arial" w:cs="Arial"/>
          <w:sz w:val="24"/>
          <w:szCs w:val="24"/>
        </w:rPr>
      </w:pPr>
    </w:p>
    <w:p w14:paraId="37583498" w14:textId="049FE41C" w:rsidR="006B3063" w:rsidRPr="0089533A" w:rsidRDefault="006B3063" w:rsidP="006B3063">
      <w:pPr>
        <w:spacing w:after="0"/>
        <w:jc w:val="both"/>
        <w:rPr>
          <w:rFonts w:ascii="Arial" w:hAnsi="Arial" w:cs="Arial"/>
          <w:sz w:val="24"/>
          <w:szCs w:val="24"/>
        </w:rPr>
      </w:pPr>
    </w:p>
    <w:sectPr w:rsidR="006B3063" w:rsidRPr="0089533A" w:rsidSect="005E50F2">
      <w:headerReference w:type="first" r:id="rId12"/>
      <w:pgSz w:w="11906" w:h="16838"/>
      <w:pgMar w:top="1134" w:right="1134" w:bottom="1134" w:left="1134"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29C3E" w14:textId="77777777" w:rsidR="00C410FA" w:rsidRDefault="00C410FA" w:rsidP="00583C86">
      <w:pPr>
        <w:spacing w:after="0" w:line="240" w:lineRule="auto"/>
      </w:pPr>
      <w:r>
        <w:separator/>
      </w:r>
    </w:p>
  </w:endnote>
  <w:endnote w:type="continuationSeparator" w:id="0">
    <w:p w14:paraId="61C49C01" w14:textId="77777777" w:rsidR="00C410FA" w:rsidRDefault="00C410FA" w:rsidP="0058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C3C77" w14:textId="77777777" w:rsidR="00C410FA" w:rsidRDefault="00C410FA" w:rsidP="00583C86">
      <w:pPr>
        <w:spacing w:after="0" w:line="240" w:lineRule="auto"/>
      </w:pPr>
      <w:r>
        <w:separator/>
      </w:r>
    </w:p>
  </w:footnote>
  <w:footnote w:type="continuationSeparator" w:id="0">
    <w:p w14:paraId="4A80C63D" w14:textId="77777777" w:rsidR="00C410FA" w:rsidRDefault="00C410FA" w:rsidP="00583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208D" w14:textId="77777777" w:rsidR="00583C86" w:rsidRDefault="00583C86" w:rsidP="00583C86">
    <w:pPr>
      <w:pStyle w:val="Header"/>
      <w:jc w:val="right"/>
    </w:pPr>
    <w:r>
      <w:rPr>
        <w:noProof/>
        <w:lang w:eastAsia="en-GB"/>
      </w:rPr>
      <w:drawing>
        <wp:inline distT="0" distB="0" distL="0" distR="0" wp14:anchorId="04A6365C" wp14:editId="77800E62">
          <wp:extent cx="1587463" cy="8176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ridgeshire-and-Peterborough-NHS-Foundation-Trust-CMYK-BLUE-crop.jpg"/>
                  <pic:cNvPicPr/>
                </pic:nvPicPr>
                <pic:blipFill>
                  <a:blip r:embed="rId1">
                    <a:extLst>
                      <a:ext uri="{28A0092B-C50C-407E-A947-70E740481C1C}">
                        <a14:useLocalDpi xmlns:a14="http://schemas.microsoft.com/office/drawing/2010/main" val="0"/>
                      </a:ext>
                    </a:extLst>
                  </a:blip>
                  <a:stretch>
                    <a:fillRect/>
                  </a:stretch>
                </pic:blipFill>
                <pic:spPr>
                  <a:xfrm>
                    <a:off x="0" y="0"/>
                    <a:ext cx="1587143" cy="8174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B4"/>
    <w:multiLevelType w:val="hybridMultilevel"/>
    <w:tmpl w:val="3E883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5D029F"/>
    <w:multiLevelType w:val="hybridMultilevel"/>
    <w:tmpl w:val="CF5A3FF2"/>
    <w:lvl w:ilvl="0" w:tplc="3F3EB3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B38BD"/>
    <w:multiLevelType w:val="hybridMultilevel"/>
    <w:tmpl w:val="DA22C992"/>
    <w:lvl w:ilvl="0" w:tplc="B6962CE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BA3563"/>
    <w:multiLevelType w:val="hybridMultilevel"/>
    <w:tmpl w:val="80049470"/>
    <w:lvl w:ilvl="0" w:tplc="42CC1582">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nsid w:val="11CA1779"/>
    <w:multiLevelType w:val="hybridMultilevel"/>
    <w:tmpl w:val="70EEB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ED5BA3"/>
    <w:multiLevelType w:val="hybridMultilevel"/>
    <w:tmpl w:val="9C2A7FD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DE72F7"/>
    <w:multiLevelType w:val="hybridMultilevel"/>
    <w:tmpl w:val="4A10D4C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3B3268D"/>
    <w:multiLevelType w:val="hybridMultilevel"/>
    <w:tmpl w:val="51964E3C"/>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104D2F"/>
    <w:multiLevelType w:val="hybridMultilevel"/>
    <w:tmpl w:val="A64C4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D72637"/>
    <w:multiLevelType w:val="hybridMultilevel"/>
    <w:tmpl w:val="6A024D24"/>
    <w:lvl w:ilvl="0" w:tplc="866A27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533359"/>
    <w:multiLevelType w:val="hybridMultilevel"/>
    <w:tmpl w:val="3D98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B13189"/>
    <w:multiLevelType w:val="hybridMultilevel"/>
    <w:tmpl w:val="515EE1C0"/>
    <w:lvl w:ilvl="0" w:tplc="2D44D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C0093C"/>
    <w:multiLevelType w:val="hybridMultilevel"/>
    <w:tmpl w:val="DC0AF69C"/>
    <w:lvl w:ilvl="0" w:tplc="738E68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5D283F"/>
    <w:multiLevelType w:val="hybridMultilevel"/>
    <w:tmpl w:val="557A9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15A3505"/>
    <w:multiLevelType w:val="hybridMultilevel"/>
    <w:tmpl w:val="A08C9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9A10F6"/>
    <w:multiLevelType w:val="hybridMultilevel"/>
    <w:tmpl w:val="C7AC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B2ACB"/>
    <w:multiLevelType w:val="hybridMultilevel"/>
    <w:tmpl w:val="B6DA6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1714CA"/>
    <w:multiLevelType w:val="hybridMultilevel"/>
    <w:tmpl w:val="E814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8D2D65"/>
    <w:multiLevelType w:val="hybridMultilevel"/>
    <w:tmpl w:val="6B88C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23E7DFB"/>
    <w:multiLevelType w:val="hybridMultilevel"/>
    <w:tmpl w:val="C8B8D246"/>
    <w:lvl w:ilvl="0" w:tplc="E8E4F3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606B41"/>
    <w:multiLevelType w:val="hybridMultilevel"/>
    <w:tmpl w:val="E278D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7984624"/>
    <w:multiLevelType w:val="hybridMultilevel"/>
    <w:tmpl w:val="E940C4CE"/>
    <w:lvl w:ilvl="0" w:tplc="42E22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8C76F0"/>
    <w:multiLevelType w:val="hybridMultilevel"/>
    <w:tmpl w:val="58147F1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 w:ilvl="0" w:tplc="0809000F">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
    <w:abstractNumId w:val="6"/>
  </w:num>
  <w:num w:numId="4">
    <w:abstractNumId w:val="17"/>
  </w:num>
  <w:num w:numId="5">
    <w:abstractNumId w:val="8"/>
  </w:num>
  <w:num w:numId="6">
    <w:abstractNumId w:val="14"/>
  </w:num>
  <w:num w:numId="7">
    <w:abstractNumId w:val="4"/>
  </w:num>
  <w:num w:numId="8">
    <w:abstractNumId w:val="20"/>
  </w:num>
  <w:num w:numId="9">
    <w:abstractNumId w:val="10"/>
  </w:num>
  <w:num w:numId="10">
    <w:abstractNumId w:val="15"/>
  </w:num>
  <w:num w:numId="11">
    <w:abstractNumId w:val="18"/>
  </w:num>
  <w:num w:numId="12">
    <w:abstractNumId w:val="7"/>
  </w:num>
  <w:num w:numId="13">
    <w:abstractNumId w:val="22"/>
  </w:num>
  <w:num w:numId="14">
    <w:abstractNumId w:val="5"/>
  </w:num>
  <w:num w:numId="15">
    <w:abstractNumId w:val="2"/>
  </w:num>
  <w:num w:numId="16">
    <w:abstractNumId w:val="12"/>
  </w:num>
  <w:num w:numId="17">
    <w:abstractNumId w:val="19"/>
  </w:num>
  <w:num w:numId="18">
    <w:abstractNumId w:val="9"/>
  </w:num>
  <w:num w:numId="19">
    <w:abstractNumId w:val="13"/>
  </w:num>
  <w:num w:numId="20">
    <w:abstractNumId w:val="16"/>
  </w:num>
  <w:num w:numId="21">
    <w:abstractNumId w:val="3"/>
  </w:num>
  <w:num w:numId="22">
    <w:abstractNumId w:val="1"/>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86"/>
    <w:rsid w:val="0008242F"/>
    <w:rsid w:val="000C01D4"/>
    <w:rsid w:val="00180D06"/>
    <w:rsid w:val="002701BF"/>
    <w:rsid w:val="003B6E92"/>
    <w:rsid w:val="00457482"/>
    <w:rsid w:val="00472349"/>
    <w:rsid w:val="00583C86"/>
    <w:rsid w:val="005E50F2"/>
    <w:rsid w:val="00627791"/>
    <w:rsid w:val="006B3063"/>
    <w:rsid w:val="00811641"/>
    <w:rsid w:val="0089533A"/>
    <w:rsid w:val="00917432"/>
    <w:rsid w:val="00952395"/>
    <w:rsid w:val="00AA689E"/>
    <w:rsid w:val="00AE2ED4"/>
    <w:rsid w:val="00AF6822"/>
    <w:rsid w:val="00C00C1E"/>
    <w:rsid w:val="00C210C8"/>
    <w:rsid w:val="00C410FA"/>
    <w:rsid w:val="00D02B81"/>
    <w:rsid w:val="00D94785"/>
    <w:rsid w:val="00DB78AF"/>
    <w:rsid w:val="00E473D5"/>
    <w:rsid w:val="00E51DBF"/>
    <w:rsid w:val="00F10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C86"/>
  </w:style>
  <w:style w:type="paragraph" w:styleId="Footer">
    <w:name w:val="footer"/>
    <w:basedOn w:val="Normal"/>
    <w:link w:val="FooterChar"/>
    <w:uiPriority w:val="99"/>
    <w:unhideWhenUsed/>
    <w:rsid w:val="00583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C86"/>
  </w:style>
  <w:style w:type="paragraph" w:styleId="BalloonText">
    <w:name w:val="Balloon Text"/>
    <w:basedOn w:val="Normal"/>
    <w:link w:val="BalloonTextChar"/>
    <w:uiPriority w:val="99"/>
    <w:semiHidden/>
    <w:unhideWhenUsed/>
    <w:rsid w:val="00583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86"/>
    <w:rPr>
      <w:rFonts w:ascii="Tahoma" w:hAnsi="Tahoma" w:cs="Tahoma"/>
      <w:sz w:val="16"/>
      <w:szCs w:val="16"/>
    </w:rPr>
  </w:style>
  <w:style w:type="table" w:styleId="TableGrid">
    <w:name w:val="Table Grid"/>
    <w:basedOn w:val="TableNormal"/>
    <w:uiPriority w:val="59"/>
    <w:rsid w:val="0058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C86"/>
  </w:style>
  <w:style w:type="paragraph" w:styleId="Footer">
    <w:name w:val="footer"/>
    <w:basedOn w:val="Normal"/>
    <w:link w:val="FooterChar"/>
    <w:uiPriority w:val="99"/>
    <w:unhideWhenUsed/>
    <w:rsid w:val="00583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C86"/>
  </w:style>
  <w:style w:type="paragraph" w:styleId="BalloonText">
    <w:name w:val="Balloon Text"/>
    <w:basedOn w:val="Normal"/>
    <w:link w:val="BalloonTextChar"/>
    <w:uiPriority w:val="99"/>
    <w:semiHidden/>
    <w:unhideWhenUsed/>
    <w:rsid w:val="00583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C86"/>
    <w:rPr>
      <w:rFonts w:ascii="Tahoma" w:hAnsi="Tahoma" w:cs="Tahoma"/>
      <w:sz w:val="16"/>
      <w:szCs w:val="16"/>
    </w:rPr>
  </w:style>
  <w:style w:type="table" w:styleId="TableGrid">
    <w:name w:val="Table Grid"/>
    <w:basedOn w:val="TableNormal"/>
    <w:uiPriority w:val="59"/>
    <w:rsid w:val="0058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753848227844CA432EC8A74E447C2" ma:contentTypeVersion="11" ma:contentTypeDescription="Create a new document." ma:contentTypeScope="" ma:versionID="49ac0a2178f14e901fa731eb651c1e7c">
  <xsd:schema xmlns:xsd="http://www.w3.org/2001/XMLSchema" xmlns:xs="http://www.w3.org/2001/XMLSchema" xmlns:p="http://schemas.microsoft.com/office/2006/metadata/properties" xmlns:ns3="ac03d491-7b5a-4515-8fd6-79a9b8a34d4c" xmlns:ns4="c81085bf-202c-410c-8c72-eb150902e757" targetNamespace="http://schemas.microsoft.com/office/2006/metadata/properties" ma:root="true" ma:fieldsID="1f3fc7177c067e71d5f2788a92f014cb" ns3:_="" ns4:_="">
    <xsd:import namespace="ac03d491-7b5a-4515-8fd6-79a9b8a34d4c"/>
    <xsd:import namespace="c81085bf-202c-410c-8c72-eb150902e7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3d491-7b5a-4515-8fd6-79a9b8a34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1085bf-202c-410c-8c72-eb150902e7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F041-1DD0-44BF-BADE-05E798337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3d491-7b5a-4515-8fd6-79a9b8a34d4c"/>
    <ds:schemaRef ds:uri="c81085bf-202c-410c-8c72-eb150902e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EA908-AAEA-4F12-900E-28C9F08798C4}">
  <ds:schemaRefs>
    <ds:schemaRef ds:uri="http://schemas.microsoft.com/sharepoint/v3/contenttype/forms"/>
  </ds:schemaRefs>
</ds:datastoreItem>
</file>

<file path=customXml/itemProps3.xml><?xml version="1.0" encoding="utf-8"?>
<ds:datastoreItem xmlns:ds="http://schemas.openxmlformats.org/officeDocument/2006/customXml" ds:itemID="{16E9CA5D-BED2-46F4-B065-A1940B5771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08F5A-986F-4596-BCBD-03125709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JD Template - Current Posts</vt:lpstr>
    </vt:vector>
  </TitlesOfParts>
  <Company>Microsoft</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 - Current Posts</dc:title>
  <dc:creator>Rachel King</dc:creator>
  <cp:lastModifiedBy>User</cp:lastModifiedBy>
  <cp:revision>2</cp:revision>
  <cp:lastPrinted>2020-02-12T10:56:00Z</cp:lastPrinted>
  <dcterms:created xsi:type="dcterms:W3CDTF">2020-03-09T10:36:00Z</dcterms:created>
  <dcterms:modified xsi:type="dcterms:W3CDTF">2020-03-09T10:36:00Z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0x010100880753848227844CA432EC8A74E447C2</vt:lpwstr>
  </property>
</Properties>
</file>