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4BCD" w14:textId="08A71362" w:rsidR="00ED7B10" w:rsidRPr="004C67E6" w:rsidRDefault="00386594" w:rsidP="004C67E6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MINDOUT</w:t>
      </w:r>
      <w:r w:rsid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CHAIR CANDIDATE PACK</w:t>
      </w:r>
    </w:p>
    <w:p w14:paraId="1F11FE0C" w14:textId="1389F5EE" w:rsidR="00386594" w:rsidRPr="004C67E6" w:rsidRDefault="00386594" w:rsidP="00386594">
      <w:pPr>
        <w:ind w:right="888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</w:p>
    <w:p w14:paraId="2EAC5B7E" w14:textId="51D02CF6" w:rsidR="00386594" w:rsidRPr="004C67E6" w:rsidRDefault="00386594" w:rsidP="00386594">
      <w:pPr>
        <w:ind w:right="888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INTRODUCTION</w:t>
      </w:r>
    </w:p>
    <w:p w14:paraId="3A59ADD0" w14:textId="232EB907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MindOut is a well-established, small charity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run by and for LGBTQ people who experience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mental health issues. We offer unique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highly effective, evidence-based mental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health support. We have a great reputation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and an ambitious future.</w:t>
      </w:r>
    </w:p>
    <w:p w14:paraId="1579ECA8" w14:textId="01789EC2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0B6F3506" w14:textId="706A86B0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have a demonstrable impact on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mental health of people who use our services;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we provide lifesaving and life-changing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interventions. We help resolve crisis and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prevent worsening conditions, often we are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people’s first service of choice.</w:t>
      </w:r>
    </w:p>
    <w:p w14:paraId="2BB7097D" w14:textId="27F3BBD5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4C798F6D" w14:textId="4023AD49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OUR HISTORY</w:t>
      </w:r>
    </w:p>
    <w:p w14:paraId="33BBA5FB" w14:textId="36C1C9BB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are run by and for LGBTQ people with experience of mental health issues and have been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offering services for 20 years. We have thrived and grown, particularly since becoming an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independent charity in 2011.</w:t>
      </w:r>
    </w:p>
    <w:p w14:paraId="5509162B" w14:textId="77777777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7AD7F618" w14:textId="4C3DACE1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 fabulous landmark in the awareness and promotion of positive mental health and wellbeing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for LGBTQ communities. In 20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years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we have grown so much and helped thousands of LGBTQ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people experiencing suicidal distress, depression, anxiety and who are in crisis or isolated. We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have connected people to LGBTQ communities and campaigned hard to make mental health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 community concern.</w:t>
      </w:r>
    </w:p>
    <w:p w14:paraId="31D9A315" w14:textId="05523473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3DB2CEC2" w14:textId="5A08E02D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are proud of and passionate about our values, particularly our co-production ethos and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service user participation. We are a grass roots initiative, owned by and embedded in LGBTQ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communities. We are independent of statutory services, affirmative, inclusive, and committed</w:t>
      </w:r>
      <w:r w:rsidR="00032180"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to free and affordable services.</w:t>
      </w:r>
    </w:p>
    <w:p w14:paraId="225E1755" w14:textId="0EB1E715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59FAD244" w14:textId="24C949A3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1999 -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MindOut starts</w:t>
      </w:r>
    </w:p>
    <w:p w14:paraId="591AABFC" w14:textId="38B87FD5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2005 -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Out of the Blue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suicide prevention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Peer Support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group begins</w:t>
      </w:r>
    </w:p>
    <w:p w14:paraId="190CE30D" w14:textId="2DF74402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2006 -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LGBTQ suicide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Memorial Tree</w:t>
      </w:r>
    </w:p>
    <w:p w14:paraId="01F8CB5C" w14:textId="67CDB3CB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2010 –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Stonewall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Community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Group of the Year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Award</w:t>
      </w:r>
    </w:p>
    <w:p w14:paraId="59776443" w14:textId="683FDE21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2011 – We became an independent charity</w:t>
      </w:r>
    </w:p>
    <w:p w14:paraId="75399138" w14:textId="17D5C86F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2012 – National Diversity Award for community Group. Services launched included online support and peer mentoring</w:t>
      </w:r>
    </w:p>
    <w:p w14:paraId="6FAEB822" w14:textId="4081ACB8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2014 – All in the Mind Award for Mental Health Community Group</w:t>
      </w:r>
    </w:p>
    <w:p w14:paraId="49CBDAD2" w14:textId="1317A0FF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2016 – New Advocacy services launched for Trans Advocacy, urgent need, and housing</w:t>
      </w:r>
    </w:p>
    <w:p w14:paraId="1C91FA4D" w14:textId="7F1A538E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2017 – Affirmative practice guide published with national Mind counselling service launched</w:t>
      </w:r>
    </w:p>
    <w:p w14:paraId="6155C1D7" w14:textId="0C880DDD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2019 – MindOut turns 20 years old</w:t>
      </w:r>
    </w:p>
    <w:p w14:paraId="5A8885BD" w14:textId="427F952D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338AC04E" w14:textId="0DFA379B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Started with 38 clients and now support 1,804 people supported</w:t>
      </w:r>
    </w:p>
    <w:p w14:paraId="5333FDEA" w14:textId="0CA0D43A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10FA5CDC" w14:textId="6CA70E2E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Key Achievements include:</w:t>
      </w:r>
    </w:p>
    <w:p w14:paraId="5FD7F7EA" w14:textId="1DBD87B8" w:rsidR="00386594" w:rsidRPr="004C67E6" w:rsidRDefault="00386594" w:rsidP="00386594">
      <w:pPr>
        <w:pStyle w:val="ListParagraph"/>
        <w:widowControl/>
        <w:numPr>
          <w:ilvl w:val="0"/>
          <w:numId w:val="1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hAnsi="Arial" w:cs="Arial"/>
          <w:sz w:val="24"/>
          <w:szCs w:val="24"/>
        </w:rPr>
        <w:t>£1million+ of grants raised</w:t>
      </w:r>
    </w:p>
    <w:p w14:paraId="0B0C5ECF" w14:textId="46FD5730" w:rsidR="00386594" w:rsidRPr="004C67E6" w:rsidRDefault="00386594" w:rsidP="00386594">
      <w:pPr>
        <w:pStyle w:val="ListParagraph"/>
        <w:widowControl/>
        <w:numPr>
          <w:ilvl w:val="0"/>
          <w:numId w:val="1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hAnsi="Arial" w:cs="Arial"/>
          <w:sz w:val="24"/>
          <w:szCs w:val="24"/>
        </w:rPr>
        <w:t>5 Golden Handbag Awards for Community Group of the year</w:t>
      </w:r>
    </w:p>
    <w:p w14:paraId="10FADA0B" w14:textId="0006B5A4" w:rsidR="00386594" w:rsidRPr="004C67E6" w:rsidRDefault="00386594" w:rsidP="00386594">
      <w:pPr>
        <w:pStyle w:val="ListParagraph"/>
        <w:widowControl/>
        <w:numPr>
          <w:ilvl w:val="0"/>
          <w:numId w:val="1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hAnsi="Arial" w:cs="Arial"/>
          <w:sz w:val="24"/>
          <w:szCs w:val="24"/>
        </w:rPr>
        <w:t xml:space="preserve">20 years of service user participation </w:t>
      </w:r>
    </w:p>
    <w:p w14:paraId="1C7308F5" w14:textId="3C3250A0" w:rsidR="00386594" w:rsidRPr="004C67E6" w:rsidRDefault="00386594" w:rsidP="00386594">
      <w:pPr>
        <w:widowControl/>
        <w:adjustRightInd w:val="0"/>
        <w:rPr>
          <w:rFonts w:ascii="Arial" w:hAnsi="Arial" w:cs="Arial"/>
          <w:sz w:val="24"/>
          <w:szCs w:val="24"/>
        </w:rPr>
      </w:pPr>
    </w:p>
    <w:p w14:paraId="714BD4AD" w14:textId="5B51D33E" w:rsidR="00386594" w:rsidRPr="004C67E6" w:rsidRDefault="00386594" w:rsidP="00386594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WHERE WE ARE NOW</w:t>
      </w:r>
    </w:p>
    <w:p w14:paraId="6D21CC2F" w14:textId="03C281B6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continue to offer and develop a range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preventive and crisis services. These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include: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advocacy, peer support, low-cost counselling,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workshops and courses, suicide prevention,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out of hours on-line support and targeted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services for minority communities. We offer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lastRenderedPageBreak/>
        <w:t>training to mainstream service providers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we run anti-stigma campaigns and events.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Last year our services reached over 2000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people.</w:t>
      </w:r>
    </w:p>
    <w:p w14:paraId="42074039" w14:textId="2B37908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0DB0E311" w14:textId="439FC948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lobby on LGBTQ mental health locally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nationally. We have pioneered innovative,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community responses to suicidal distress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peer support.</w:t>
      </w:r>
    </w:p>
    <w:p w14:paraId="608C6AA7" w14:textId="05E48474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2ABA0C51" w14:textId="50FB964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Over the last three years we have developed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our services, our fundraising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capacity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our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governance. We have been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very successful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in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our previous aims of consolidation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sustainability, flexible response to need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maintaining and developing current services.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We have addressed substantial risk factors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including ongoing funding for local services,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diversifying our income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streams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adding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senior management capacity.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ab/>
      </w:r>
    </w:p>
    <w:p w14:paraId="75816636" w14:textId="003B1291" w:rsidR="00032180" w:rsidRPr="004C67E6" w:rsidRDefault="00032180" w:rsidP="00032180">
      <w:pPr>
        <w:widowControl/>
        <w:tabs>
          <w:tab w:val="left" w:pos="6870"/>
        </w:tabs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7543FC58" w14:textId="485387B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have a skilled, committed, experienced staff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team with a robust management structure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board of trustees. We have expanded our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volunteer teams with excellent training,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support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and supervision.</w:t>
      </w:r>
    </w:p>
    <w:p w14:paraId="21D2677F" w14:textId="1FD9324E" w:rsidR="00032180" w:rsidRPr="004C67E6" w:rsidRDefault="00032180" w:rsidP="00032180">
      <w:pPr>
        <w:widowControl/>
        <w:tabs>
          <w:tab w:val="left" w:pos="6870"/>
        </w:tabs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6A6B9288" w14:textId="63493D6F" w:rsidR="00032180" w:rsidRPr="004C67E6" w:rsidRDefault="00032180" w:rsidP="00032180">
      <w:pPr>
        <w:widowControl/>
        <w:tabs>
          <w:tab w:val="left" w:pos="6870"/>
        </w:tabs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Other achievements include:</w:t>
      </w:r>
    </w:p>
    <w:p w14:paraId="0BC6C5C3" w14:textId="41BDF676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Secured funding for work to address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mental health needs of people aged 50+,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published research ‘Ageing Well in LGBTQ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Communities’ and set up the Age Matters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project</w:t>
      </w:r>
    </w:p>
    <w:p w14:paraId="21680DE0" w14:textId="6F3EC745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Secured ongoing funding for Peer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Mentoring, Online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support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local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community Advocacy services, in new</w:t>
      </w:r>
    </w:p>
    <w:p w14:paraId="2FA4F5B1" w14:textId="566F9A66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partnerships.</w:t>
      </w:r>
    </w:p>
    <w:p w14:paraId="12833078" w14:textId="79666C33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Set up a low-cost LGBTQ Counselling Service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and run a successful pilot for LGBTQ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Relationship Counselling.</w:t>
      </w:r>
    </w:p>
    <w:p w14:paraId="6951E06E" w14:textId="615A3E14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Set up a Food Bank to address food poverty,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giving out 81 food parcels last year.</w:t>
      </w:r>
    </w:p>
    <w:p w14:paraId="5E0C61A7" w14:textId="05C94A0B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Grown our Online support service in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partnership with social networking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providers.</w:t>
      </w:r>
    </w:p>
    <w:p w14:paraId="162A4CA2" w14:textId="0388C377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Developed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evidence based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evaluation of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effectiveness of our services.</w:t>
      </w:r>
    </w:p>
    <w:p w14:paraId="30BF590A" w14:textId="24052442" w:rsidR="00032180" w:rsidRPr="004C67E6" w:rsidRDefault="00032180" w:rsidP="00032180">
      <w:pPr>
        <w:pStyle w:val="ListParagraph"/>
        <w:widowControl/>
        <w:numPr>
          <w:ilvl w:val="0"/>
          <w:numId w:val="2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Diversified our income: success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community fundraising, corporate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partnerships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increased training sales.</w:t>
      </w:r>
    </w:p>
    <w:p w14:paraId="744CB14B" w14:textId="568E7C9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OUR VISION</w:t>
      </w:r>
    </w:p>
    <w:p w14:paraId="334F3966" w14:textId="762753B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 world where the mental health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LGBTQ communities is a priority, free from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stigma, respected and recognised.</w:t>
      </w:r>
    </w:p>
    <w:p w14:paraId="5DC42950" w14:textId="4971CFF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2E44BBEF" w14:textId="618A1E2D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OUR MISSION</w:t>
      </w:r>
    </w:p>
    <w:p w14:paraId="0AB498CA" w14:textId="5A5EF20C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To improve the wellbeing of LGBTQ people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who experience mental health issues,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reduce mental health stigma,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promote positive mental health amongst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LGBTQ community. We do this by:</w:t>
      </w:r>
    </w:p>
    <w:p w14:paraId="07789958" w14:textId="2392911A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Listening to and responding to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LGBTQ experience of mental health.</w:t>
      </w:r>
    </w:p>
    <w:p w14:paraId="48D55009" w14:textId="019F07F3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Offering hope through positive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relationships and professional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expertise.</w:t>
      </w:r>
    </w:p>
    <w:p w14:paraId="4D0094D2" w14:textId="6F65E360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Preventing isolation,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crisis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suicidal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distress in LGBTQ communities.</w:t>
      </w:r>
    </w:p>
    <w:p w14:paraId="32D0CF37" w14:textId="28A6CB82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Helping people protect their rights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get their voices heard.</w:t>
      </w:r>
    </w:p>
    <w:p w14:paraId="21D9FC2A" w14:textId="25FC9755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Providing safe spaces for people to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meet and support each other.</w:t>
      </w:r>
    </w:p>
    <w:p w14:paraId="6646619B" w14:textId="1A7B4823" w:rsidR="00032180" w:rsidRPr="004C67E6" w:rsidRDefault="00032180" w:rsidP="00032180">
      <w:pPr>
        <w:pStyle w:val="ListParagraph"/>
        <w:widowControl/>
        <w:numPr>
          <w:ilvl w:val="0"/>
          <w:numId w:val="3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Campaigning and creating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conversations about LGBTQ mental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health across the world.</w:t>
      </w:r>
    </w:p>
    <w:p w14:paraId="068B3851" w14:textId="42BB251F" w:rsidR="00032180" w:rsidRPr="004C67E6" w:rsidRDefault="00032180" w:rsidP="00032180">
      <w:pPr>
        <w:widowControl/>
        <w:adjustRightInd w:val="0"/>
        <w:rPr>
          <w:rFonts w:ascii="Arial" w:hAnsi="Arial" w:cs="Arial"/>
          <w:sz w:val="24"/>
          <w:szCs w:val="24"/>
        </w:rPr>
      </w:pPr>
    </w:p>
    <w:p w14:paraId="34FBC0EC" w14:textId="77777777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</w:p>
    <w:p w14:paraId="208BFD84" w14:textId="0677F7AD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OUR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STRATEGIC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AIMS</w:t>
      </w:r>
    </w:p>
    <w:p w14:paraId="4555E130" w14:textId="0E768B0A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lastRenderedPageBreak/>
        <w:t>We have worked with the national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LGBT+ sector to define common,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shared outcomes which are reflected</w:t>
      </w:r>
    </w:p>
    <w:p w14:paraId="5D12C5C4" w14:textId="74C0A52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in our five strategic outcomes:</w:t>
      </w:r>
    </w:p>
    <w:p w14:paraId="1D8C6438" w14:textId="458BDD2A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Better mental wellbeing for LGBTQ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people.</w:t>
      </w:r>
    </w:p>
    <w:p w14:paraId="21B06B1A" w14:textId="626FE79B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Reduced social isolation in LGBTQ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communities.</w:t>
      </w:r>
    </w:p>
    <w:p w14:paraId="7A15121A" w14:textId="0BDC221E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Reduced suicidal distress in LGBTQ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communities</w:t>
      </w:r>
    </w:p>
    <w:p w14:paraId="17159931" w14:textId="187ED322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An end to stigma associated with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mental health.</w:t>
      </w:r>
    </w:p>
    <w:p w14:paraId="54768C3A" w14:textId="0A6BBBD3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Improved mainstream mental health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service provision for LGBTQ people</w:t>
      </w:r>
    </w:p>
    <w:p w14:paraId="621150C9" w14:textId="4D5525A1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56917FEE" w14:textId="2F390682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ROLE OVERVIEW</w:t>
      </w:r>
    </w:p>
    <w:p w14:paraId="39BB7A26" w14:textId="4950081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MindOut's board is responsible for supporting and holding to account the CEO and the senior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leadership team. This includes ensuring appropriate governance of the organisation, overseeing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overall strategy, managing strategic risk, monitoring financial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performance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interrogating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big strategic choices and high-level decisions about the running of MindOut. The board also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acts as guardian of MindOut's mission and values.</w:t>
      </w:r>
    </w:p>
    <w:p w14:paraId="1E52D81C" w14:textId="6B3972C6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15F51682" w14:textId="7F275EA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are looking for a new Chair who will play a key role in ensuring we meet our strategic aims,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provide leadership and direction to the board, ensuring they fulfil their responsibilities for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governance.</w:t>
      </w:r>
    </w:p>
    <w:p w14:paraId="2466EAA3" w14:textId="1B442B16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2135A37E" w14:textId="29EA3131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Provide leadership and direction to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the board</w:t>
      </w:r>
    </w:p>
    <w:p w14:paraId="186DF9EC" w14:textId="104230A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Chair meetings to agreed agenda,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ensuring outcomes are reached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decisions are taken.</w:t>
      </w:r>
    </w:p>
    <w:p w14:paraId="5650F654" w14:textId="01D1F2CC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Work with the CEO to identify agenda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items,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decisions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outcomes for/of board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meetings.</w:t>
      </w:r>
    </w:p>
    <w:p w14:paraId="03A3A4A1" w14:textId="2849B885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Ensure effective communication between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Trustees and the senior leadership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team, by acting as a channel of</w:t>
      </w:r>
    </w:p>
    <w:p w14:paraId="6E5C2D69" w14:textId="2F388EC6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communication.</w:t>
      </w:r>
    </w:p>
    <w:p w14:paraId="27CA0E35" w14:textId="5980FC7C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Where appropriate, support individual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board members’ personal development</w:t>
      </w:r>
    </w:p>
    <w:p w14:paraId="4462F9E9" w14:textId="241A49D2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1F8EBF87" w14:textId="02413B7D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Provide support and challenge to the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CEO</w:t>
      </w:r>
    </w:p>
    <w:p w14:paraId="1B93E5AE" w14:textId="59D78376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Conduct annual performance review,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collating feedback from staff, Trustees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relevant partners and setting development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objectives.</w:t>
      </w:r>
    </w:p>
    <w:p w14:paraId="0C83EAE6" w14:textId="16B5A710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Regular support and challenge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–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sounding board and a source of feedback,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advice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and suggestions for CEO, and</w:t>
      </w:r>
    </w:p>
    <w:p w14:paraId="3BDB331D" w14:textId="08CDF034" w:rsidR="00032180" w:rsidRPr="004C67E6" w:rsidRDefault="00032180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where appropriate the senior leadership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team.</w:t>
      </w:r>
    </w:p>
    <w:p w14:paraId="5F84C12C" w14:textId="374AB655" w:rsidR="00C027EE" w:rsidRPr="004C67E6" w:rsidRDefault="00C027EE" w:rsidP="00032180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Support the CEO’s personal development.</w:t>
      </w:r>
    </w:p>
    <w:p w14:paraId="4841BC10" w14:textId="35EE7B32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Willing to respond at short notice if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something significant comes up that we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want to react to.</w:t>
      </w:r>
    </w:p>
    <w:p w14:paraId="18F8ECEE" w14:textId="14AF2675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Significant involvement in succession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planning and appointment, when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required.</w:t>
      </w:r>
    </w:p>
    <w:p w14:paraId="1E631A8B" w14:textId="5AFDF746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5C041BC9" w14:textId="3E4248B3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PERSON SPECIFICATION</w:t>
      </w:r>
    </w:p>
    <w:p w14:paraId="0FEBD3E5" w14:textId="356B2E2C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As we are an organisation run by and for LGBTQ people, we want our Chair to represent our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service users as well as the following:</w:t>
      </w:r>
    </w:p>
    <w:p w14:paraId="6BD71384" w14:textId="41A0D3A4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Skills</w:t>
      </w:r>
    </w:p>
    <w:p w14:paraId="4A6CC931" w14:textId="344BA678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Ability to lead the organisation in line with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our vision and values and to deliver our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strategic aims.</w:t>
      </w:r>
    </w:p>
    <w:p w14:paraId="0C76BC0F" w14:textId="584C7B6C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Able to apply knowledge of inclusion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diversity to management of the board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broader governance issues.</w:t>
      </w:r>
    </w:p>
    <w:p w14:paraId="5BCF6FF1" w14:textId="546B9B76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Charity governance through strong ethics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and transparency.</w:t>
      </w:r>
    </w:p>
    <w:p w14:paraId="50AABE99" w14:textId="5CD0E71F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Able to apply creativity and innovation to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change and growth.</w:t>
      </w:r>
    </w:p>
    <w:p w14:paraId="2FE6A54C" w14:textId="10DE4ABD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lastRenderedPageBreak/>
        <w:t>Willing and able to work as part of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governance team and in collaboration with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CEO and senior leadership team.</w:t>
      </w:r>
    </w:p>
    <w:p w14:paraId="5773244A" w14:textId="5ED616E1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Assist the CEO and the senior leadership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team in building networks of organisations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and individuals who can help further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organisation's mission.</w:t>
      </w:r>
    </w:p>
    <w:p w14:paraId="0639CD1C" w14:textId="53D787B4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Leading teams and organisations to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inclusive and objective decision making.</w:t>
      </w:r>
    </w:p>
    <w:p w14:paraId="4D9F3062" w14:textId="34F7B12A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External networking with organisations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and individuals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in order to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support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achievement of our mission and strategic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plan.</w:t>
      </w:r>
    </w:p>
    <w:p w14:paraId="51E42400" w14:textId="60E4AA4D" w:rsidR="00C027EE" w:rsidRPr="004C67E6" w:rsidRDefault="00C027EE" w:rsidP="00C027EE">
      <w:pPr>
        <w:pStyle w:val="ListParagraph"/>
        <w:widowControl/>
        <w:numPr>
          <w:ilvl w:val="0"/>
          <w:numId w:val="4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 Trustee or leader during a time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significant growth.</w:t>
      </w:r>
    </w:p>
    <w:p w14:paraId="3F6626B6" w14:textId="77777777" w:rsidR="00C027EE" w:rsidRPr="004C67E6" w:rsidRDefault="00C027EE" w:rsidP="00C027EE">
      <w:pPr>
        <w:pStyle w:val="ListParagraph"/>
        <w:widowControl/>
        <w:adjustRightInd w:val="0"/>
        <w:ind w:left="720"/>
        <w:rPr>
          <w:rFonts w:ascii="Arial" w:hAnsi="Arial" w:cs="Arial"/>
          <w:sz w:val="24"/>
          <w:szCs w:val="24"/>
        </w:rPr>
      </w:pPr>
    </w:p>
    <w:p w14:paraId="7F87324B" w14:textId="4CE7ECAF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Experience</w:t>
      </w:r>
    </w:p>
    <w:p w14:paraId="2ACE64A7" w14:textId="77777777" w:rsidR="00C027EE" w:rsidRPr="004C67E6" w:rsidRDefault="00C027EE" w:rsidP="00C027EE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Previous experience as a board member.</w:t>
      </w:r>
    </w:p>
    <w:p w14:paraId="2BFDF3B0" w14:textId="66060290" w:rsidR="00C027EE" w:rsidRPr="004C67E6" w:rsidRDefault="00C027EE" w:rsidP="00C027EE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Experience of mental health issues, either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directly or indirectly.</w:t>
      </w:r>
    </w:p>
    <w:p w14:paraId="1E018B99" w14:textId="2083B382" w:rsidR="00C027EE" w:rsidRPr="004C67E6" w:rsidRDefault="00C027EE" w:rsidP="00C027EE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Personal experience of mental health will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be viewed positively.</w:t>
      </w:r>
    </w:p>
    <w:p w14:paraId="2A9BBB86" w14:textId="0D717E19" w:rsidR="00C027EE" w:rsidRPr="004C67E6" w:rsidRDefault="00C027EE" w:rsidP="00C027EE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Understanding of the voluntary sector, its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context and how it operates.</w:t>
      </w:r>
    </w:p>
    <w:p w14:paraId="786FC3DF" w14:textId="11B11DEC" w:rsidR="00C027EE" w:rsidRPr="004C67E6" w:rsidRDefault="00C027EE" w:rsidP="00C027EE">
      <w:pPr>
        <w:pStyle w:val="ListParagraph"/>
        <w:widowControl/>
        <w:numPr>
          <w:ilvl w:val="0"/>
          <w:numId w:val="5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Identifying as LGBTQ.</w:t>
      </w:r>
    </w:p>
    <w:p w14:paraId="52D5A453" w14:textId="5DFA4C5F" w:rsidR="00C027EE" w:rsidRPr="004C67E6" w:rsidRDefault="00C027EE" w:rsidP="00C027EE">
      <w:pPr>
        <w:widowControl/>
        <w:adjustRightInd w:val="0"/>
        <w:rPr>
          <w:rFonts w:ascii="Arial" w:hAnsi="Arial" w:cs="Arial"/>
          <w:sz w:val="24"/>
          <w:szCs w:val="24"/>
        </w:rPr>
      </w:pPr>
    </w:p>
    <w:p w14:paraId="6650AE74" w14:textId="6DC4BCD0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Values and ways of working</w:t>
      </w:r>
    </w:p>
    <w:p w14:paraId="06AD1C27" w14:textId="69303F29" w:rsidR="00C027EE" w:rsidRPr="004C67E6" w:rsidRDefault="00C027EE" w:rsidP="00C027EE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Excellent communication skills and an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ability to persuade and influence to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promote the interests of MindOut.</w:t>
      </w:r>
    </w:p>
    <w:p w14:paraId="77C4D0C7" w14:textId="2E67C4A5" w:rsidR="00C027EE" w:rsidRPr="004C67E6" w:rsidRDefault="00C027EE" w:rsidP="00C027EE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Good listening skills and openness to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others’ views and feedback on own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contribution.</w:t>
      </w:r>
    </w:p>
    <w:p w14:paraId="3FC17C34" w14:textId="3B9786E0" w:rsidR="00C027EE" w:rsidRPr="004C67E6" w:rsidRDefault="00C027EE" w:rsidP="00C027EE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Able to operate at a strategic level,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bringing insight and interrogation to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development of organisational strategy.</w:t>
      </w:r>
    </w:p>
    <w:p w14:paraId="2F8C60FD" w14:textId="68B6DA3A" w:rsidR="00C027EE" w:rsidRPr="004C67E6" w:rsidRDefault="00C027EE" w:rsidP="00C027EE">
      <w:pPr>
        <w:pStyle w:val="ListParagraph"/>
        <w:widowControl/>
        <w:numPr>
          <w:ilvl w:val="0"/>
          <w:numId w:val="6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Taking high-level decisions about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future of the organisation.</w:t>
      </w:r>
    </w:p>
    <w:p w14:paraId="49DEDB2E" w14:textId="69DD098C" w:rsidR="00C027EE" w:rsidRPr="004C67E6" w:rsidRDefault="00C027EE" w:rsidP="00C027EE">
      <w:pPr>
        <w:widowControl/>
        <w:adjustRightInd w:val="0"/>
        <w:rPr>
          <w:rFonts w:ascii="Arial" w:hAnsi="Arial" w:cs="Arial"/>
          <w:sz w:val="24"/>
          <w:szCs w:val="24"/>
        </w:rPr>
      </w:pPr>
    </w:p>
    <w:p w14:paraId="5FC43831" w14:textId="39F2169F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Ambassador</w:t>
      </w:r>
    </w:p>
    <w:p w14:paraId="175AB605" w14:textId="3FA70282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Occasionally act as a representative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MindOut to allies, stakeholders and, if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required, the media.</w:t>
      </w:r>
    </w:p>
    <w:p w14:paraId="0517FC43" w14:textId="04355150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0C7D1BAB" w14:textId="0A159CDB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OUR COMMITMENT TO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DIVERSITY &amp; INCLUSION</w:t>
      </w:r>
    </w:p>
    <w:p w14:paraId="7A2F2EA2" w14:textId="1AE8B9CA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are an inclusive organisation that supports thousands of diverse people every year.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We want this diversity of to be reflected on our board.</w:t>
      </w:r>
    </w:p>
    <w:p w14:paraId="6D2C3CC4" w14:textId="552428DB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67404AEC" w14:textId="3C4AF8A1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We welcome applications from anyone regardless of their age, disability, ethnicity,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heritage, and socio-economic background.</w:t>
      </w:r>
    </w:p>
    <w:p w14:paraId="23310418" w14:textId="2A76CAC3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2A4D5D9A" w14:textId="56B9C7E0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MindOut is deeply committed to inclusive working practices, so during the application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process we commit to:</w:t>
      </w:r>
    </w:p>
    <w:p w14:paraId="7559C816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Paying for childcare whilst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you’re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at MindOut’s interviews.</w:t>
      </w:r>
    </w:p>
    <w:p w14:paraId="105DE942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Paying for your travel costs to the office and back for interviews when this is held in</w:t>
      </w:r>
    </w:p>
    <w:p w14:paraId="7DCA46CA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person.</w:t>
      </w:r>
    </w:p>
    <w:p w14:paraId="540AADF7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Making any reasonable adjustments - for example ensuring we have a sign language</w:t>
      </w:r>
    </w:p>
    <w:p w14:paraId="38C0BCDD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interpreters organised in advance if </w:t>
      </w:r>
      <w:proofErr w:type="gramStart"/>
      <w:r w:rsidRPr="004C67E6">
        <w:rPr>
          <w:rFonts w:ascii="Arial" w:eastAsiaTheme="minorHAnsi" w:hAnsi="Arial" w:cs="Arial"/>
          <w:sz w:val="24"/>
          <w:szCs w:val="24"/>
          <w:lang w:val="en-GB"/>
        </w:rPr>
        <w:t>you’d</w:t>
      </w:r>
      <w:proofErr w:type="gramEnd"/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like them.</w:t>
      </w:r>
    </w:p>
    <w:p w14:paraId="551A45D9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Providing this document in a Word document format readily available to download.</w:t>
      </w:r>
    </w:p>
    <w:p w14:paraId="6BF66E52" w14:textId="77777777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Offering a guaranteed first stage interview for disabled candidates who meet the</w:t>
      </w:r>
    </w:p>
    <w:p w14:paraId="3035C0B5" w14:textId="73A0EF6C" w:rsidR="00C027EE" w:rsidRPr="004C67E6" w:rsidRDefault="00C027EE" w:rsidP="00C027EE">
      <w:pPr>
        <w:pStyle w:val="ListParagraph"/>
        <w:widowControl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minimum requirements for the role with Inclusive Boards.</w:t>
      </w:r>
    </w:p>
    <w:p w14:paraId="000DEE49" w14:textId="244D75BE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If there is anything </w:t>
      </w:r>
      <w:proofErr w:type="gramStart"/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else</w:t>
      </w:r>
      <w:proofErr w:type="gramEnd"/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you’re concerned about or think we could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provide, please let us know.</w:t>
      </w:r>
    </w:p>
    <w:p w14:paraId="4AAAB48B" w14:textId="11DD0D05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</w:p>
    <w:p w14:paraId="44BF5691" w14:textId="77777777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</w:p>
    <w:p w14:paraId="7E8C2D31" w14:textId="77777777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</w:p>
    <w:p w14:paraId="68492818" w14:textId="62AEAE9B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ADDITIONAL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INFORMATION</w:t>
      </w:r>
    </w:p>
    <w:p w14:paraId="626D493F" w14:textId="61FB9BE8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Time Commitment</w:t>
      </w:r>
    </w:p>
    <w:p w14:paraId="0C99094C" w14:textId="7A202597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The board meets at least six times a year.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Chair is expected to also meet with the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CEO at least once a month. There are also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two strategic meetings in the year which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includes an away day.</w:t>
      </w:r>
    </w:p>
    <w:p w14:paraId="3E4F0E89" w14:textId="79ED8132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27825CCB" w14:textId="44CB3C12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Terms of Appointment</w:t>
      </w:r>
    </w:p>
    <w:p w14:paraId="1EC55F13" w14:textId="1903E205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An offer of appointment will be made once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all candidates have been </w:t>
      </w:r>
      <w:r w:rsidR="004C67E6" w:rsidRPr="004C67E6">
        <w:rPr>
          <w:rFonts w:ascii="Arial" w:eastAsiaTheme="minorHAnsi" w:hAnsi="Arial" w:cs="Arial"/>
          <w:sz w:val="24"/>
          <w:szCs w:val="24"/>
          <w:lang w:val="en-GB"/>
        </w:rPr>
        <w:t>interviewed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will be subject to satisfactory completion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eligibility checks, including reference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checks. If you are offered an appointment</w:t>
      </w:r>
    </w:p>
    <w:p w14:paraId="43CC54DB" w14:textId="450289D8" w:rsidR="00C027EE" w:rsidRPr="004C67E6" w:rsidRDefault="00C027EE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you will receive a detailed summary of your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main terms and conditions.</w:t>
      </w:r>
    </w:p>
    <w:p w14:paraId="0D6F0DDF" w14:textId="7873D4C9" w:rsidR="004C67E6" w:rsidRPr="004C67E6" w:rsidRDefault="004C67E6" w:rsidP="00C027E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0EB72CBE" w14:textId="66A9113E" w:rsidR="004C67E6" w:rsidRPr="004C67E6" w:rsidRDefault="004C67E6" w:rsidP="00C027EE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Conflicts of Interest</w:t>
      </w:r>
    </w:p>
    <w:p w14:paraId="7F07777F" w14:textId="44EA4B41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All candidates will be asked to disclose any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actual, potential or perceived conflict of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interest, and these will be discussed with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candidate to establish whether and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what action is needed to avoid a conflict or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the perception of a conflict.</w:t>
      </w:r>
    </w:p>
    <w:p w14:paraId="6B55E30A" w14:textId="58F3DC16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1E4F0FBC" w14:textId="05DD3716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Questions</w:t>
      </w:r>
    </w:p>
    <w:p w14:paraId="12970243" w14:textId="25AF77B1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sz w:val="24"/>
          <w:szCs w:val="24"/>
          <w:lang w:val="en-GB"/>
        </w:rPr>
        <w:t>If you would like to find out more about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MindOut, we would be happy to discuss this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sz w:val="24"/>
          <w:szCs w:val="24"/>
          <w:lang w:val="en-GB"/>
        </w:rPr>
        <w:t>further with you.</w:t>
      </w:r>
    </w:p>
    <w:p w14:paraId="578F90A6" w14:textId="39AD17DB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GB"/>
        </w:rPr>
      </w:pPr>
    </w:p>
    <w:p w14:paraId="40790772" w14:textId="61C86E81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b/>
          <w:bCs/>
          <w:sz w:val="24"/>
          <w:szCs w:val="24"/>
          <w:lang w:val="en-GB"/>
        </w:rPr>
        <w:t>HOW TO APPLY</w:t>
      </w:r>
    </w:p>
    <w:p w14:paraId="7C1A70AD" w14:textId="02731F47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The recruitment process is being undertaken by Inclusive Boards on behalf of MindOut. If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you wish to apply for this position, please supply the following by 23.59 22/11/2020</w:t>
      </w:r>
    </w:p>
    <w:p w14:paraId="158393AE" w14:textId="77777777" w:rsidR="004C67E6" w:rsidRPr="004C67E6" w:rsidRDefault="004C67E6" w:rsidP="004C67E6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1D61896C" w14:textId="77777777" w:rsidR="004C67E6" w:rsidRPr="004C67E6" w:rsidRDefault="004C67E6" w:rsidP="004C67E6">
      <w:pPr>
        <w:pStyle w:val="ListParagraph"/>
        <w:widowControl/>
        <w:numPr>
          <w:ilvl w:val="0"/>
          <w:numId w:val="8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A detailed CV setting out your career history, with responsibilities and achievements.</w:t>
      </w:r>
    </w:p>
    <w:p w14:paraId="47AAC99F" w14:textId="2CD72320" w:rsidR="004C67E6" w:rsidRPr="004C67E6" w:rsidRDefault="004C67E6" w:rsidP="004C67E6">
      <w:pPr>
        <w:pStyle w:val="ListParagraph"/>
        <w:widowControl/>
        <w:numPr>
          <w:ilvl w:val="0"/>
          <w:numId w:val="8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A covering letter (maximum two sides) highlighting your suitability for the role and how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you meet the person specification. Please note that the covering letter is an important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part of your application and will be assessed as part of your full application.</w:t>
      </w:r>
    </w:p>
    <w:p w14:paraId="1EE08908" w14:textId="0A472C89" w:rsidR="004C67E6" w:rsidRPr="004C67E6" w:rsidRDefault="004C67E6" w:rsidP="004C67E6">
      <w:pPr>
        <w:pStyle w:val="ListParagraph"/>
        <w:widowControl/>
        <w:numPr>
          <w:ilvl w:val="0"/>
          <w:numId w:val="8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Please provide details of two professional referees together with a brief statement of their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relationship to you and over what </w:t>
      </w:r>
      <w:proofErr w:type="gramStart"/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period of time</w:t>
      </w:r>
      <w:proofErr w:type="gramEnd"/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they have known you.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Referees will not be contacted without your prior consent.</w:t>
      </w:r>
    </w:p>
    <w:p w14:paraId="3BB96962" w14:textId="5C1424DC" w:rsidR="004C67E6" w:rsidRPr="004C67E6" w:rsidRDefault="004C67E6" w:rsidP="004C67E6">
      <w:pPr>
        <w:pStyle w:val="ListParagraph"/>
        <w:widowControl/>
        <w:numPr>
          <w:ilvl w:val="0"/>
          <w:numId w:val="8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5271FF"/>
          <w:sz w:val="24"/>
          <w:szCs w:val="24"/>
          <w:lang w:val="en-GB"/>
        </w:rPr>
        <w:t xml:space="preserve">Diversity monitoring form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- your data will be stored separately from your application and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will at no time be connected to you or your application.</w:t>
      </w:r>
    </w:p>
    <w:p w14:paraId="28679868" w14:textId="7933362B" w:rsidR="004C67E6" w:rsidRPr="004C67E6" w:rsidRDefault="004C67E6" w:rsidP="004C67E6">
      <w:pPr>
        <w:pStyle w:val="ListParagraph"/>
        <w:widowControl/>
        <w:numPr>
          <w:ilvl w:val="0"/>
          <w:numId w:val="8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If you would like to discuss this role informally before applying, please call 0207 267 8369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color w:val="000000"/>
          <w:sz w:val="24"/>
          <w:szCs w:val="24"/>
          <w:lang w:val="en-GB"/>
        </w:rPr>
        <w:t>to speak to Ros Hollinghurst.</w:t>
      </w:r>
    </w:p>
    <w:p w14:paraId="61443902" w14:textId="456D0A1B" w:rsidR="004C67E6" w:rsidRPr="004C67E6" w:rsidRDefault="004C67E6" w:rsidP="004C67E6">
      <w:pPr>
        <w:widowControl/>
        <w:adjustRightInd w:val="0"/>
        <w:rPr>
          <w:rFonts w:ascii="Arial" w:hAnsi="Arial" w:cs="Arial"/>
          <w:sz w:val="24"/>
          <w:szCs w:val="24"/>
        </w:rPr>
      </w:pPr>
      <w:r w:rsidRPr="004C67E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To submit a full application please send your CV and cover letter to:</w:t>
      </w:r>
      <w:r w:rsidRPr="004C67E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Pr="004C67E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MindOut@inclusiveboards.co.uk</w:t>
      </w:r>
    </w:p>
    <w:sectPr w:rsidR="004C67E6" w:rsidRPr="004C67E6" w:rsidSect="00386594"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B6B"/>
    <w:multiLevelType w:val="hybridMultilevel"/>
    <w:tmpl w:val="FF28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B60"/>
    <w:multiLevelType w:val="hybridMultilevel"/>
    <w:tmpl w:val="3292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020C"/>
    <w:multiLevelType w:val="hybridMultilevel"/>
    <w:tmpl w:val="79A2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57A6"/>
    <w:multiLevelType w:val="hybridMultilevel"/>
    <w:tmpl w:val="79FC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D3823"/>
    <w:multiLevelType w:val="hybridMultilevel"/>
    <w:tmpl w:val="BD305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E3D68"/>
    <w:multiLevelType w:val="hybridMultilevel"/>
    <w:tmpl w:val="D958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46D53"/>
    <w:multiLevelType w:val="hybridMultilevel"/>
    <w:tmpl w:val="ACB4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58A1"/>
    <w:multiLevelType w:val="hybridMultilevel"/>
    <w:tmpl w:val="BF46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B10"/>
    <w:rsid w:val="00032180"/>
    <w:rsid w:val="00386594"/>
    <w:rsid w:val="004C67E6"/>
    <w:rsid w:val="00C027EE"/>
    <w:rsid w:val="00E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B27C"/>
  <w15:docId w15:val="{ACA864FE-4DF6-421D-BDB8-6EFE058D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7"/>
      <w:ind w:left="-19"/>
      <w:jc w:val="center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3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MindOut Chair Pack [FINAL]</vt:lpstr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MindOut Chair Pack [FINAL]</dc:title>
  <dc:creator>Inclusive Boards</dc:creator>
  <cp:keywords>DAEJ6M9sctg,BADFJ2nE0zc</cp:keywords>
  <cp:lastModifiedBy>Elizabeth Adeniran</cp:lastModifiedBy>
  <cp:revision>2</cp:revision>
  <dcterms:created xsi:type="dcterms:W3CDTF">2020-10-29T12:10:00Z</dcterms:created>
  <dcterms:modified xsi:type="dcterms:W3CDTF">2020-10-29T12:48:00Z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Canva</vt:lpwstr>
  </property>
  <property fmtid="{D5CDD505-2E9C-101B-9397-08002B2CF9AE}" pid="4" name="LastSaved">
    <vt:filetime>2020-10-29T00:00:00Z</vt:filetime>
  </property>
</Properties>
</file>